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1066800</wp:posOffset>
            </wp:positionH>
            <wp:positionV relativeFrom="page">
              <wp:posOffset>454025</wp:posOffset>
            </wp:positionV>
            <wp:extent cx="1543685" cy="9188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5366385</wp:posOffset>
            </wp:positionH>
            <wp:positionV relativeFrom="page">
              <wp:posOffset>248920</wp:posOffset>
            </wp:positionV>
            <wp:extent cx="1123950" cy="11239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jc w:val="both"/>
        <w:ind w:left="400" w:right="319"/>
        <w:spacing w:after="0" w:line="29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Το Εκπαιδευτικό Κέντρο» «Κ.Ε.Κ. ΑΘΗΝΑ» σε συνεργασία με το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Επιμελητήριο Φθιώτιδας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διοργανώνει σεμινάριο με τίτλο: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Εκπαίδευση Εκπαιδευτών Ενηλίκων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το οποίο εμπίπτει στο Φ.Ε.Κ. 83/Α’/11</w:t>
      </w:r>
      <w:r>
        <w:rPr>
          <w:rFonts w:ascii="Calibri" w:cs="Calibri" w:eastAsia="Calibri" w:hAnsi="Calibri"/>
          <w:sz w:val="22"/>
          <w:szCs w:val="22"/>
          <w:color w:val="auto"/>
        </w:rPr>
        <w:t>-5-2016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και δίνει τη δυνατότητα στους συμμετέχοντες να υποβάλλουν Αίτηση Πιστοποίησης Εκπαιδευτικής Επάρκειας στον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Εθνικό Οργανισμό Πιστοποίησης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Προσόντων και Επαγγελματικού Προσανατολισμού ΕΟΠΠΕΠ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jc w:val="both"/>
        <w:ind w:left="400" w:right="319"/>
        <w:spacing w:after="0" w:line="26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Το πρόγραμμα διαρθρώνεται με βάση την εξεταστική διαδικασία πιστοποίησης του Ε.Ο.Π.Π.Ε.Π. και παρέχει στους συμμετέχοντες: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1860" w:right="339" w:hanging="357"/>
        <w:spacing w:after="0" w:line="235" w:lineRule="auto"/>
        <w:tabs>
          <w:tab w:leader="none" w:pos="1860" w:val="left"/>
        </w:tabs>
        <w:numPr>
          <w:ilvl w:val="0"/>
          <w:numId w:val="1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Δυνατότητα πραγματοποίησης τεστ προσομοίωσης των εξετάσεων βασιζόμενα στην Τράπεζα Θεμάτων του Ε.Ο.Π.Π.Ε.Π.</w:t>
      </w:r>
    </w:p>
    <w:p>
      <w:pPr>
        <w:spacing w:after="0" w:line="125" w:lineRule="exact"/>
        <w:rPr>
          <w:rFonts w:ascii="Symbol" w:cs="Symbol" w:eastAsia="Symbol" w:hAnsi="Symbol"/>
          <w:sz w:val="22"/>
          <w:szCs w:val="22"/>
          <w:color w:val="auto"/>
        </w:rPr>
      </w:pPr>
    </w:p>
    <w:p>
      <w:pPr>
        <w:ind w:left="1860" w:right="339" w:hanging="357"/>
        <w:spacing w:after="0" w:line="235" w:lineRule="auto"/>
        <w:tabs>
          <w:tab w:leader="none" w:pos="1860" w:val="left"/>
        </w:tabs>
        <w:numPr>
          <w:ilvl w:val="0"/>
          <w:numId w:val="1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Χτίσιμο, παρουσίαση και αξιολόγηση της μικροδιδασκαλίας από έμπειρους στο χώρο αξιολογητές</w:t>
      </w:r>
    </w:p>
    <w:p>
      <w:pPr>
        <w:spacing w:after="0" w:line="117" w:lineRule="exact"/>
        <w:rPr>
          <w:rFonts w:ascii="Symbol" w:cs="Symbol" w:eastAsia="Symbol" w:hAnsi="Symbol"/>
          <w:sz w:val="22"/>
          <w:szCs w:val="22"/>
          <w:color w:val="auto"/>
        </w:rPr>
      </w:pPr>
    </w:p>
    <w:p>
      <w:pPr>
        <w:ind w:left="1860" w:right="479" w:hanging="357"/>
        <w:spacing w:after="0" w:line="237" w:lineRule="auto"/>
        <w:tabs>
          <w:tab w:leader="none" w:pos="1860" w:val="left"/>
        </w:tabs>
        <w:numPr>
          <w:ilvl w:val="0"/>
          <w:numId w:val="1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Εγγραφή σε μητρώο εκπαιδευτών (ΦΕΚ 2844/2012 και Ν. 3486/2016) που γίνεται αποδεκτό από τον ΕΟΠΠΕΠ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Επιστημονική Ομάδα Σεμιναρίου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jc w:val="both"/>
        <w:ind w:left="400" w:right="319"/>
        <w:spacing w:after="0" w:line="28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Επιστημονικά Υπεύθυνος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Βαϊος Αγγελακόπουλος, Πιστοποιημένος στο Μητρώο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Αξιολογητών Εκπαιδευτών Ενηλίκων και στο Μητρώο Εκπαίδευσης Εκπαιδευτών Ενηλίκων, Μεταπτυχιακό τίτλο στην Εκπαίδευση Εκπαιδευτών.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Εισηγητές προγράμματος:</w:t>
      </w: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jc w:val="both"/>
        <w:ind w:left="1140" w:right="319"/>
        <w:spacing w:after="0" w:line="29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Δρ. Γρατσάνη Σταματία, Μεταπτυχιακό τίτλο στην Οργανωσιακή Ψυχολογία και στην Κοινωνική Ψυχιατρική – Παιδοψυχιατρική,Ψυχολόγος, Πιστοποιημένη στο Μητρώο Αξιολογητών Εκπαιδευτών Ενηλίκων και στο Μητρώο Εκπαίδευσης Εκπαιδευτών Ενηλίκων</w:t>
      </w: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jc w:val="both"/>
        <w:ind w:left="1140" w:right="319"/>
        <w:spacing w:after="0" w:line="28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Βαϊος Αγγελακόπουλος, Πιστοποιημένος στο Μητρώο Αξιολογητών Εκπαιδευτών Ενηλίκων και στο Μητρώο Εκπαίδευσης Εκπαιδευτών Ενηλίκων, Μεταπτυχιακό τίτλο στην Εκπαίδευση Εκπαιδευτών.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Σελίδα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1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από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4</w:t>
      </w:r>
    </w:p>
    <w:p>
      <w:pPr>
        <w:sectPr>
          <w:pgSz w:w="11900" w:h="16850" w:orient="portrait"/>
          <w:cols w:equalWidth="0" w:num="1">
            <w:col w:w="9019"/>
          </w:cols>
          <w:pgMar w:left="1440" w:top="1440" w:right="1440" w:bottom="0" w:gutter="0" w:footer="0" w:header="0"/>
        </w:sect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Που απευθύνεται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jc w:val="both"/>
        <w:ind w:left="1120" w:right="319"/>
        <w:spacing w:after="0" w:line="25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Σε όσους ενδιαφέρονται να πιστοποιηθούν ως εκπαιδευτές ενηλίκων. Οι συμμετέχοντες θα εκπαιδευτούν, ώστε να βελτιώσουν τις επιδόσεις τους στις εξετάσεις που διοργανώνει ο ΕΟΠΠΕΠ για την πιστοποίηση εκπαιδευτικής επάρκειας των Εκπαιδευτών Ενηλίκων της Μη Τυπικής Εκπαίδευσης.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jc w:val="both"/>
        <w:ind w:left="1120" w:right="319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Σε όσους θέλουν να αποκτήσουν επιπλέον μοριοδότηση για την ένταξη τους στο εκπαιδευτικό δυναμικό φορέων μετα</w:t>
      </w:r>
      <w:r>
        <w:rPr>
          <w:rFonts w:ascii="Calibri" w:cs="Calibri" w:eastAsia="Calibri" w:hAnsi="Calibri"/>
          <w:sz w:val="22"/>
          <w:szCs w:val="22"/>
          <w:color w:val="auto"/>
        </w:rPr>
        <w:t>-</w:t>
      </w:r>
      <w:r>
        <w:rPr>
          <w:rFonts w:ascii="Calibri" w:cs="Calibri" w:eastAsia="Calibri" w:hAnsi="Calibri"/>
          <w:sz w:val="22"/>
          <w:szCs w:val="22"/>
          <w:color w:val="auto"/>
        </w:rPr>
        <w:t>δευτεροβάθμιας εκπαίδευσης και εκπαίδευσης ενηλίκων (π.χ. ΙΕΚ, ΣΔΕ, ΚΔΒΜ)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both"/>
        <w:ind w:left="1120" w:right="319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Σε όσους ενδιαφέρονται να αναβαθμίσουν τις ικανότητες διδασκαλίας τους και να τις εμπλουτίσουν με σύγχρονες τεχνικές και μεθόδους εκπαίδευσης ενηλίκων</w:t>
      </w: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Ενότητες Σεμιναρίου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(με βάση το επαγγελματικό περίγραμμα: «Εκπαιδευτής ενηλίκων του ΕΟΠΠΕΠ»)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-13970</wp:posOffset>
                </wp:positionV>
                <wp:extent cx="457581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38424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3pt,-1.0999pt" to="407.6pt,-1.0999pt" o:allowincell="f" strokecolor="#38424E" strokeweight="0.72pt"/>
            </w:pict>
          </mc:Fallback>
        </mc:AlternateContent>
      </w: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980" w:right="319" w:hanging="296"/>
        <w:spacing w:after="0" w:line="265" w:lineRule="auto"/>
        <w:tabs>
          <w:tab w:leader="none" w:pos="94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Αλληλογνωριμία, Παρουσίαση στόχων προγράμματος, Διαμόρφωση εκπαιδευτικού συμβολαίου</w:t>
      </w:r>
    </w:p>
    <w:p>
      <w:pPr>
        <w:spacing w:after="0" w:line="98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jc w:val="both"/>
        <w:ind w:left="980" w:right="319" w:hanging="296"/>
        <w:spacing w:after="0" w:line="285" w:lineRule="auto"/>
        <w:tabs>
          <w:tab w:leader="none" w:pos="94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Θεωρίες μάθησης ενηλίκων, Χαρακτηριστικά ενηλίκων εκπαιδευόμενων, Προϋποθέσεις αποτελεσματικής μάθησης, Αρχές μάθησης ενηλίκων, Ρόλος εκπαιδευτή</w:t>
      </w:r>
    </w:p>
    <w:p>
      <w:pPr>
        <w:spacing w:after="0" w:line="73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ind w:left="980" w:right="319" w:hanging="296"/>
        <w:spacing w:after="0" w:line="262" w:lineRule="auto"/>
        <w:tabs>
          <w:tab w:leader="none" w:pos="94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Μεθοδολογία εναρκτήριας συνάντησης, Διαμόρφωση εκπαιδευτικού χώρου. Αποτελεσματική χρήση εποπτικών μέσων διδασκαλίας</w:t>
      </w:r>
    </w:p>
    <w:p>
      <w:pPr>
        <w:spacing w:after="0" w:line="102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ind w:left="980" w:right="319" w:hanging="296"/>
        <w:spacing w:after="0" w:line="265" w:lineRule="auto"/>
        <w:tabs>
          <w:tab w:leader="none" w:pos="94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Δυναμική της εκπαιδευόμενης ομάδας (διαμόρφωση συνεργατικού μαθησιακού κλίματος, ρόλοι στην ομάδα, επικοινωνία στην ομάδα)</w:t>
      </w:r>
    </w:p>
    <w:p>
      <w:pPr>
        <w:spacing w:after="0" w:line="51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ind w:left="920" w:hanging="236"/>
        <w:spacing w:after="0"/>
        <w:tabs>
          <w:tab w:leader="none" w:pos="9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Ευάλωτες Κοινωνικά Ομάδες</w:t>
      </w:r>
    </w:p>
    <w:p>
      <w:pPr>
        <w:spacing w:after="0" w:line="60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ind w:left="920" w:hanging="236"/>
        <w:spacing w:after="0"/>
        <w:tabs>
          <w:tab w:leader="none" w:pos="9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Μεθοδολογία σχεδιασμού διδακτικής ενότητας</w:t>
      </w:r>
    </w:p>
    <w:p>
      <w:pPr>
        <w:spacing w:after="0" w:line="74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ind w:left="920" w:hanging="236"/>
        <w:spacing w:after="0"/>
        <w:tabs>
          <w:tab w:leader="none" w:pos="9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Αξιολόγηση διδακτικού έργου (Μοντέλα, τύποι, τεχνικές)</w:t>
      </w:r>
    </w:p>
    <w:p>
      <w:pPr>
        <w:spacing w:after="0" w:line="123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ind w:left="980" w:right="319" w:hanging="296"/>
        <w:spacing w:after="0" w:line="262" w:lineRule="auto"/>
        <w:tabs>
          <w:tab w:leader="none" w:pos="94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Εργαστήριο Σχεδιασμού εικοσάλεπτης μικροδιδασκαλίας από όλους τους εκπαιδευόμενους</w:t>
      </w:r>
    </w:p>
    <w:p>
      <w:pPr>
        <w:spacing w:after="0" w:line="100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jc w:val="both"/>
        <w:ind w:left="980" w:right="319" w:hanging="296"/>
        <w:spacing w:after="0" w:line="284" w:lineRule="auto"/>
        <w:tabs>
          <w:tab w:leader="none" w:pos="94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Πρακτική άσκηση στις σύγχρονες μεθόδους και τεχνικές διδασκαλίας ενηλίκων, (Χιονοστιβάδα, εργασία σε ομάδες, παιγνίδι ρόλων, μελέτη περίπτωσης, εμπλουτισμένη εισήγηση, καταιγισμός ιδεών, κ.α.)</w:t>
      </w:r>
    </w:p>
    <w:p>
      <w:pPr>
        <w:spacing w:after="0" w:line="81" w:lineRule="exact"/>
        <w:rPr>
          <w:rFonts w:ascii="Arial" w:cs="Arial" w:eastAsia="Arial" w:hAnsi="Arial"/>
          <w:sz w:val="20"/>
          <w:szCs w:val="20"/>
          <w:color w:val="38424E"/>
        </w:rPr>
      </w:pPr>
    </w:p>
    <w:p>
      <w:pPr>
        <w:ind w:left="980" w:right="319" w:hanging="296"/>
        <w:spacing w:after="0" w:line="260" w:lineRule="auto"/>
        <w:tabs>
          <w:tab w:leader="none" w:pos="94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38424E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Παρουσίαση εικοσάλεπτων μικροδιδασκαλιών από όλους τους εκπαιδευόμενους με σχολιασμό, βελτίωση υποψηφίων και υποστήριξη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Σελίδα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2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από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4</w:t>
      </w:r>
    </w:p>
    <w:p>
      <w:pPr>
        <w:sectPr>
          <w:pgSz w:w="11900" w:h="16850" w:orient="portrait"/>
          <w:cols w:equalWidth="0" w:num="1">
            <w:col w:w="9019"/>
          </w:cols>
          <w:pgMar w:left="1440" w:top="1440" w:right="1440" w:bottom="3" w:gutter="0" w:footer="0" w:header="0"/>
        </w:sect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 xml:space="preserve">Εξετάσεις Πιστοποίησης </w:t>
      </w: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38424E"/>
        </w:rPr>
        <w:t>&amp;</w:t>
      </w: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 xml:space="preserve"> Λεπτομέρειες Σεμιναρίου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100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Διδακτικές Ώρες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jc w:val="both"/>
        <w:ind w:left="1120" w:right="319" w:hanging="356"/>
        <w:spacing w:after="0" w:line="236" w:lineRule="auto"/>
        <w:tabs>
          <w:tab w:leader="none" w:pos="1120" w:val="left"/>
        </w:tabs>
        <w:numPr>
          <w:ilvl w:val="0"/>
          <w:numId w:val="3"/>
        </w:numPr>
        <w:rPr>
          <w:rFonts w:ascii="MS PGothic" w:cs="MS PGothic" w:eastAsia="MS PGothic" w:hAnsi="MS PGothic"/>
          <w:sz w:val="42"/>
          <w:szCs w:val="42"/>
          <w:color w:val="auto"/>
          <w:vertAlign w:val="superscript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 xml:space="preserve">88 </w:t>
      </w: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ώρες ασύγχρονης τηλεκατάρτισης μέσω ηλεκτρονικής πλατφόρμας</w:t>
      </w: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1"/>
          <w:szCs w:val="21"/>
          <w:color w:val="auto"/>
        </w:rPr>
        <w:t>βασισμένης</w:t>
      </w: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1"/>
          <w:szCs w:val="21"/>
          <w:color w:val="auto"/>
        </w:rPr>
        <w:t>εξ ολοκλήρου στην τράπεζα θεμάτων του ΕΟΠΠΕΠ, με ευρηματικές ασκήσεις, πρωτότυπα μαθησιακά παιγνίδια και ερωτήσεις πολλαπλών απαντήσεων.</w:t>
      </w:r>
    </w:p>
    <w:p>
      <w:pPr>
        <w:spacing w:after="0" w:line="200" w:lineRule="exact"/>
        <w:rPr>
          <w:rFonts w:ascii="MS PGothic" w:cs="MS PGothic" w:eastAsia="MS PGothic" w:hAnsi="MS PGothic"/>
          <w:sz w:val="42"/>
          <w:szCs w:val="42"/>
          <w:color w:val="auto"/>
          <w:vertAlign w:val="superscript"/>
        </w:rPr>
      </w:pPr>
    </w:p>
    <w:p>
      <w:pPr>
        <w:spacing w:after="0" w:line="214" w:lineRule="exact"/>
        <w:rPr>
          <w:rFonts w:ascii="MS PGothic" w:cs="MS PGothic" w:eastAsia="MS PGothic" w:hAnsi="MS PGothic"/>
          <w:sz w:val="42"/>
          <w:szCs w:val="42"/>
          <w:color w:val="auto"/>
          <w:vertAlign w:val="superscript"/>
        </w:rPr>
      </w:pPr>
    </w:p>
    <w:p>
      <w:pPr>
        <w:ind w:left="1120" w:right="319" w:hanging="356"/>
        <w:spacing w:after="0" w:line="193" w:lineRule="auto"/>
        <w:tabs>
          <w:tab w:leader="none" w:pos="1120" w:val="left"/>
        </w:tabs>
        <w:numPr>
          <w:ilvl w:val="0"/>
          <w:numId w:val="3"/>
        </w:numPr>
        <w:rPr>
          <w:rFonts w:ascii="MS PGothic" w:cs="MS PGothic" w:eastAsia="MS PGothic" w:hAnsi="MS PGothic"/>
          <w:sz w:val="44"/>
          <w:szCs w:val="44"/>
          <w:color w:val="auto"/>
          <w:vertAlign w:val="superscript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12 ώρες Σύγχρονης τηλεκατάρτισης μέσω ηλεκτρονικής πλατφόρμας 12 ώρες δια ζώσης </w:t>
      </w:r>
      <w:r>
        <w:rPr>
          <w:rFonts w:ascii="Calibri" w:cs="Calibri" w:eastAsia="Calibri" w:hAnsi="Calibri"/>
          <w:sz w:val="22"/>
          <w:szCs w:val="22"/>
          <w:color w:val="auto"/>
        </w:rPr>
        <w:t>κατάρτιση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Κόστος</w:t>
      </w:r>
      <w:r>
        <w:rPr>
          <w:rFonts w:ascii="Calibri" w:cs="Calibri" w:eastAsia="Calibri" w:hAnsi="Calibri"/>
          <w:sz w:val="22"/>
          <w:szCs w:val="22"/>
          <w:color w:val="auto"/>
        </w:rPr>
        <w:t>: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200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€ </w:t>
      </w:r>
      <w:r>
        <w:rPr>
          <w:rFonts w:ascii="Calibri" w:cs="Calibri" w:eastAsia="Calibri" w:hAnsi="Calibri"/>
          <w:sz w:val="22"/>
          <w:szCs w:val="22"/>
          <w:color w:val="auto"/>
        </w:rPr>
        <w:t>ανά συμμετοχή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Ώρες διεξαγωγής </w:t>
      </w:r>
      <w:r>
        <w:rPr>
          <w:rFonts w:ascii="Calibri" w:cs="Calibri" w:eastAsia="Calibri" w:hAnsi="Calibri"/>
          <w:sz w:val="22"/>
          <w:szCs w:val="22"/>
          <w:color w:val="auto"/>
        </w:rPr>
        <w:t>σεμιναρίων «Σύγχρονη Τηλεκατάρτιση»: Σάββατο: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10.00 - 14.00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Διαδικασία υποβολής αίτησης συμμετοχής στη διαδικασία Πιστοποίησης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Εκπαιδευτικής Επάρκειας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left="400" w:right="319"/>
        <w:spacing w:after="0" w:line="2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Εφόσον οι συμμετέχοντες ολοκληρώσουν με επιτυχία το ανωτέρω σεμινάριο και είναι ενταγμένοι στο Μητρώο Εκπαιδευτών του Επιμελητηρίου ή διαφορετικά σε Προσωρινό Μητρώο Εκπαιδευτών Ενηλίκων ΕΟΠΠΕΠ, Λ.Α.Ε.Κ., ΕΚΔΔΑ ή άλλο, έχουν τη δυνατότητα να υποβάλουν αίτηση πιστοποίησης στον ΕΟΠΠΕΠ ώστε να συμμετάσχουν στην εξεταστική διαδικασία.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Τα απαραίτητα βήματα είναι τα εξής: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ind w:left="1160" w:right="1059" w:hanging="356"/>
        <w:spacing w:after="0" w:line="247" w:lineRule="auto"/>
        <w:tabs>
          <w:tab w:leader="none" w:pos="1160" w:val="left"/>
        </w:tabs>
        <w:numPr>
          <w:ilvl w:val="0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Υποβολή ηλεκτρονικής αίτησης πιστοποίησης μέσα από την ιστοσελίδα του Ε.Ο.Π.Π.Ε.Π. (για την ηλεκτρονική αίτηση πιέστε </w:t>
      </w:r>
      <w:r>
        <w:rPr>
          <w:rFonts w:ascii="Calibri" w:cs="Calibri" w:eastAsia="Calibri" w:hAnsi="Calibri"/>
          <w:sz w:val="22"/>
          <w:szCs w:val="22"/>
          <w:color w:val="206BAA"/>
        </w:rPr>
        <w:t>εδώ</w:t>
      </w:r>
      <w:r>
        <w:rPr>
          <w:rFonts w:ascii="Calibri" w:cs="Calibri" w:eastAsia="Calibri" w:hAnsi="Calibri"/>
          <w:sz w:val="22"/>
          <w:szCs w:val="22"/>
          <w:color w:val="636363"/>
        </w:rPr>
        <w:t>).</w:t>
      </w:r>
    </w:p>
    <w:p>
      <w:pPr>
        <w:spacing w:after="0" w:line="53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60" w:hanging="356"/>
        <w:spacing w:after="0"/>
        <w:tabs>
          <w:tab w:leader="none" w:pos="1160" w:val="left"/>
        </w:tabs>
        <w:numPr>
          <w:ilvl w:val="0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Εκτύπωση και υπογραφή της Ηλεκτρονικής αίτησης</w:t>
      </w:r>
    </w:p>
    <w:p>
      <w:pPr>
        <w:spacing w:after="0" w:line="82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jc w:val="both"/>
        <w:ind w:left="1160" w:right="359" w:hanging="356"/>
        <w:spacing w:after="0" w:line="274" w:lineRule="auto"/>
        <w:tabs>
          <w:tab w:leader="none" w:pos="1160" w:val="left"/>
        </w:tabs>
        <w:numPr>
          <w:ilvl w:val="0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Κατάθεση του προβλεπόμενου χρηματικού ποσού στην Εθνική Τράπεζα της Ελλάδος, όπως προσδιορίζεται στην ιστοσελίδα του Ε.Ο.Π.Π.Ε.Π. (για περισσότερες πληροφορίες πιέστε </w:t>
      </w:r>
      <w:r>
        <w:rPr>
          <w:rFonts w:ascii="Calibri" w:cs="Calibri" w:eastAsia="Calibri" w:hAnsi="Calibri"/>
          <w:sz w:val="22"/>
          <w:szCs w:val="22"/>
          <w:color w:val="206BAA"/>
        </w:rPr>
        <w:t>εδώ</w:t>
      </w:r>
      <w:r>
        <w:rPr>
          <w:rFonts w:ascii="Calibri" w:cs="Calibri" w:eastAsia="Calibri" w:hAnsi="Calibri"/>
          <w:sz w:val="22"/>
          <w:szCs w:val="22"/>
          <w:color w:val="636363"/>
        </w:rPr>
        <w:t>).</w:t>
      </w:r>
    </w:p>
    <w:p>
      <w:pPr>
        <w:spacing w:after="0" w:line="76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60" w:right="519" w:hanging="356"/>
        <w:spacing w:after="0" w:line="294" w:lineRule="auto"/>
        <w:tabs>
          <w:tab w:leader="none" w:pos="1160" w:val="left"/>
        </w:tabs>
        <w:numPr>
          <w:ilvl w:val="0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Αποστολή φακέλου με την υπογεγραμμένη ηλεκτρονική αίτηση και όλα τα προβλεπόμενα δικαιολογητικά και την Υπεύθυνη Δήλωση στη διεύθυνση του Ε.Ο.Π.Π.Ε.Π. (Εθνικής Αντιστάσεως </w:t>
      </w:r>
      <w:r>
        <w:rPr>
          <w:rFonts w:ascii="Calibri" w:cs="Calibri" w:eastAsia="Calibri" w:hAnsi="Calibri"/>
          <w:sz w:val="22"/>
          <w:szCs w:val="22"/>
          <w:color w:val="auto"/>
        </w:rPr>
        <w:t>41,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ΤΚ </w:t>
      </w:r>
      <w:r>
        <w:rPr>
          <w:rFonts w:ascii="Calibri" w:cs="Calibri" w:eastAsia="Calibri" w:hAnsi="Calibri"/>
          <w:sz w:val="22"/>
          <w:szCs w:val="22"/>
          <w:color w:val="auto"/>
        </w:rPr>
        <w:t>14234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Νέα Ιωνία) με την ένδειξη: «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Αίτηση για συμμετοχή στη διαδικασία πιστοποίησης εκπαιδευτικής επάρκειας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εκπαιδευτών ενηλίκων της μη τυπικής εκπαίδευσης».</w:t>
      </w:r>
    </w:p>
    <w:p>
      <w:pPr>
        <w:spacing w:after="0" w:line="68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60" w:right="339" w:hanging="356"/>
        <w:spacing w:after="0" w:line="252" w:lineRule="auto"/>
        <w:tabs>
          <w:tab w:leader="none" w:pos="1160" w:val="left"/>
        </w:tabs>
        <w:numPr>
          <w:ilvl w:val="0"/>
          <w:numId w:val="4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Τα απαιτούμενα δικαιολογητικά μπορείτε να τα βρείτε </w:t>
      </w:r>
      <w:r>
        <w:rPr>
          <w:rFonts w:ascii="Calibri" w:cs="Calibri" w:eastAsia="Calibri" w:hAnsi="Calibri"/>
          <w:sz w:val="22"/>
          <w:szCs w:val="22"/>
          <w:color w:val="206BAA"/>
        </w:rPr>
        <w:t>εδώ</w:t>
      </w:r>
      <w:r>
        <w:rPr>
          <w:rFonts w:ascii="Calibri" w:cs="Calibri" w:eastAsia="Calibri" w:hAnsi="Calibri"/>
          <w:sz w:val="22"/>
          <w:szCs w:val="22"/>
          <w:color w:val="636363"/>
        </w:rPr>
        <w:t>.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Η υπεύθυνη δήλωση βρίσκεται </w:t>
      </w:r>
      <w:r>
        <w:rPr>
          <w:rFonts w:ascii="Calibri" w:cs="Calibri" w:eastAsia="Calibri" w:hAnsi="Calibri"/>
          <w:sz w:val="22"/>
          <w:szCs w:val="22"/>
          <w:color w:val="206BAA"/>
        </w:rPr>
        <w:t>εδώ</w:t>
      </w:r>
      <w:r>
        <w:rPr>
          <w:rFonts w:ascii="Calibri" w:cs="Calibri" w:eastAsia="Calibri" w:hAnsi="Calibri"/>
          <w:sz w:val="22"/>
          <w:szCs w:val="22"/>
          <w:color w:val="636363"/>
        </w:rPr>
        <w:t>.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00" w:right="319"/>
        <w:spacing w:after="0" w:line="28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Μετά την αποστολή της αίτησής σας, μπορείτε να ενημερώνεστε για την πορεία της και το αποτέλεσμα μέσω </w:t>
      </w:r>
      <w:r>
        <w:rPr>
          <w:rFonts w:ascii="Calibri" w:cs="Calibri" w:eastAsia="Calibri" w:hAnsi="Calibri"/>
          <w:sz w:val="22"/>
          <w:szCs w:val="22"/>
          <w:color w:val="auto"/>
        </w:rPr>
        <w:t>της ηλεκτρονικής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πλατφόρμας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http://trainers.eoppep.gr.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Σελίδα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3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από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4</w:t>
      </w:r>
    </w:p>
    <w:p>
      <w:pPr>
        <w:sectPr>
          <w:pgSz w:w="11900" w:h="16850" w:orient="portrait"/>
          <w:cols w:equalWidth="0" w:num="1">
            <w:col w:w="9019"/>
          </w:cols>
          <w:pgMar w:left="1440" w:top="1440" w:right="1440" w:bottom="3" w:gutter="0" w:footer="0" w:header="0"/>
        </w:sect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ind w:right="-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Θεσμικό Πλαίσιο Σχετικά με τη Διαδικασία Πιστοποίησης Εκπαιδευτικής</w: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jc w:val="center"/>
        <w:ind w:right="-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Επάρκειας Ενηλίκων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400" w:right="319" w:firstLine="4"/>
        <w:spacing w:after="0" w:line="292" w:lineRule="auto"/>
        <w:tabs>
          <w:tab w:leader="none" w:pos="590" w:val="left"/>
        </w:tabs>
        <w:numPr>
          <w:ilvl w:val="0"/>
          <w:numId w:val="5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διαδικασία της πιστοποίησης εκπαιδευτικής επάρκειας ενηλίκων μη τυπικής εκπαίδευσης διενεργείται σύμφωνα με τα οριζόμενα στην υπ’ αρ. ΓΠ/20082/23.10.2012 Υπουργική Απόφαση «Σύστημα Πιστοποίησης Εκπαιδευτικής Επάρκειας Εκπαιδευτών Ενηλίκων της Μη Τυπικής Εκπαίδευσης» (Φ.Ε.Κ. 2844/Β’/2012), όπως ισχύει καθώς και την υπ’ αριθμ.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400" w:right="319"/>
        <w:spacing w:after="0" w:line="30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Β/2387/17.01.2013 Απόφαση του .Σ. του Ε.Ο.Π.Π.Ε.Π. «Εξειδίκευση Μεθοδολογίας για την Πιστοποίηση της Εκπαιδευτικής Επάρκειας Εκπαιδευτών Ενηλίκων της Μη Τυπικής Εκπαίδευσης», όπως τροποποιήθηκε με την υπ’ αριθμ. ΔΠ/13515/24.05.2013 όμοια απόφαση και ισχύει όπως κυρώθηκαν με την παρ. </w:t>
      </w:r>
      <w:r>
        <w:rPr>
          <w:rFonts w:ascii="Calibri" w:cs="Calibri" w:eastAsia="Calibri" w:hAnsi="Calibri"/>
          <w:sz w:val="22"/>
          <w:szCs w:val="22"/>
          <w:color w:val="auto"/>
        </w:rPr>
        <w:t>12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του άρθρου </w:t>
      </w:r>
      <w:r>
        <w:rPr>
          <w:rFonts w:ascii="Calibri" w:cs="Calibri" w:eastAsia="Calibri" w:hAnsi="Calibri"/>
          <w:sz w:val="22"/>
          <w:szCs w:val="22"/>
          <w:color w:val="auto"/>
        </w:rPr>
        <w:t>47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του Ν. </w:t>
      </w:r>
      <w:r>
        <w:rPr>
          <w:rFonts w:ascii="Calibri" w:cs="Calibri" w:eastAsia="Calibri" w:hAnsi="Calibri"/>
          <w:sz w:val="22"/>
          <w:szCs w:val="22"/>
          <w:color w:val="auto"/>
        </w:rPr>
        <w:t>4624/2014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(ΦΕΚ. 118 Α’/15</w:t>
      </w:r>
      <w:r>
        <w:rPr>
          <w:rFonts w:ascii="Calibri" w:cs="Calibri" w:eastAsia="Calibri" w:hAnsi="Calibri"/>
          <w:sz w:val="22"/>
          <w:szCs w:val="22"/>
          <w:color w:val="auto"/>
        </w:rPr>
        <w:t>-5-</w:t>
      </w:r>
      <w:r>
        <w:rPr>
          <w:rFonts w:ascii="Calibri" w:cs="Calibri" w:eastAsia="Calibri" w:hAnsi="Calibri"/>
          <w:sz w:val="22"/>
          <w:szCs w:val="22"/>
          <w:color w:val="auto"/>
        </w:rPr>
        <w:t>2014). Ακολούθως δε, σύμφωνα με το άρθρο 47 του Ν. 4386/2016 (Φ.Ε.Κ. 83/Α’/11</w:t>
      </w:r>
      <w:r>
        <w:rPr>
          <w:rFonts w:ascii="Calibri" w:cs="Calibri" w:eastAsia="Calibri" w:hAnsi="Calibri"/>
          <w:sz w:val="22"/>
          <w:szCs w:val="22"/>
          <w:color w:val="auto"/>
        </w:rPr>
        <w:t>-5-2016),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οι διατάξεις του άρθρου </w:t>
      </w:r>
      <w:r>
        <w:rPr>
          <w:rFonts w:ascii="Calibri" w:cs="Calibri" w:eastAsia="Calibri" w:hAnsi="Calibri"/>
          <w:sz w:val="22"/>
          <w:szCs w:val="22"/>
          <w:color w:val="auto"/>
        </w:rPr>
        <w:t>17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της ανωτέρω Υ.Α. τροποποιούνται. Ειδικότερα στο σημείο ββ) του ανωτέρω άρθρου ορίζεται ότι, εκτός άλλων, δικαιούχοι συμμετοχής σε εξετάσεις πιστοποίησης εκπαιδευτικής επάρκειας είναι: «ββ) οι εκπαιδευτές που είναι ενταγμένοι στο Εισαγωγικό Μητρώο Εκπαιδευτών Ενηλίκων, σύμφωνα με τα οριζόμενα στην υπ’ αριθμ. 113613/3.11.2006 κ.υ.α. (Β’ 1700) με θέμα: Τροποποίηση της αριθμ. 113172 (Β’1593) κοινής υπουργικής απόφασης των Υπουργών Οικονομίας και Οικονομικών και Απασχόλησης και Κοινωνικής Προστασίας περί Συστήματος Πιστοποίησης Εκπαιδευτών Ενηλίκων ή σε άλλα Μητρώα Εκπαιδευτών και έχουν παρακολουθήσει επιτυχώς το πρόγραμμα εκπαίδευσης εκπαιδευτών </w:t>
      </w:r>
      <w:r>
        <w:rPr>
          <w:rFonts w:ascii="Calibri" w:cs="Calibri" w:eastAsia="Calibri" w:hAnsi="Calibri"/>
          <w:sz w:val="22"/>
          <w:szCs w:val="22"/>
          <w:color w:val="auto"/>
        </w:rPr>
        <w:t>300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ωρών του Υπουργεόυ Απασχόλησης και Κοινωνικής Προστασίας ή έχουν ολοκληρώσει επιτυχώς προγράμματα εκπαίδευσης εκπαιδευτών φορέων που ανήκουν στο δημόσιο και ευρύτερο δημόσιο τομέα, διάρκειας τουλάχιστον 100 ωρών.»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Σελίδα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4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από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4</w:t>
      </w:r>
    </w:p>
    <w:sectPr>
      <w:pgSz w:w="11900" w:h="16850" w:orient="portrait"/>
      <w:cols w:equalWidth="0" w:num="1">
        <w:col w:w="9019"/>
      </w:cols>
      <w:pgMar w:left="1440" w:top="1440" w:right="1440" w:bottom="3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6952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5F90"/>
    <w:multiLevelType w:val="hybridMultilevel"/>
    <w:lvl w:ilvl="0">
      <w:lvlJc w:val="left"/>
      <w:lvlText w:val="➢"/>
      <w:numFmt w:val="bullet"/>
      <w:start w:val="1"/>
    </w:lvl>
  </w:abstractNum>
  <w:abstractNum w:abstractNumId="3">
    <w:nsid w:val="1649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6DF1"/>
    <w:multiLevelType w:val="hybridMultilevel"/>
    <w:lvl w:ilvl="0">
      <w:lvlJc w:val="left"/>
      <w:lvlText w:val="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2024-02-15T08:47:55Z</dcterms:created>
  <dcterms:modified xsi:type="dcterms:W3CDTF">2024-02-15T08:47:55Z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