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1E" w:rsidRPr="001A70B9" w:rsidRDefault="00C8351E" w:rsidP="00C8351E">
      <w:pPr>
        <w:pBdr>
          <w:bottom w:val="single" w:sz="6" w:space="0" w:color="000001"/>
        </w:pBdr>
        <w:spacing w:after="0" w:line="240" w:lineRule="auto"/>
        <w:ind w:firstLine="720"/>
        <w:jc w:val="both"/>
        <w:rPr>
          <w:rFonts w:cs="Calibri"/>
        </w:rPr>
      </w:pPr>
      <w:bookmarkStart w:id="0" w:name="_GoBack"/>
      <w:bookmarkEnd w:id="0"/>
      <w:r>
        <w:rPr>
          <w:rFonts w:cs="Calibri"/>
          <w:noProof/>
        </w:rPr>
        <w:drawing>
          <wp:inline distT="0" distB="0" distL="0" distR="0">
            <wp:extent cx="658495" cy="665480"/>
            <wp:effectExtent l="19050" t="0" r="8255" b="0"/>
            <wp:docPr id="2" name="image1.jpg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E" w:rsidRPr="001A70B9" w:rsidRDefault="00C8351E" w:rsidP="00C8351E">
      <w:pPr>
        <w:pBdr>
          <w:bottom w:val="single" w:sz="6" w:space="0" w:color="000001"/>
        </w:pBdr>
        <w:spacing w:after="0" w:line="240" w:lineRule="auto"/>
        <w:jc w:val="both"/>
        <w:rPr>
          <w:rFonts w:cs="Calibri"/>
        </w:rPr>
      </w:pPr>
      <w:r w:rsidRPr="001A70B9">
        <w:rPr>
          <w:rFonts w:cs="Calibri"/>
        </w:rPr>
        <w:t>ΕΛΛΗΝΙΚΗ ΔΗΜΟΚΡΑΤΙΑ</w:t>
      </w:r>
    </w:p>
    <w:p w:rsidR="00C8351E" w:rsidRPr="001A70B9" w:rsidRDefault="00C8351E" w:rsidP="00C8351E">
      <w:pPr>
        <w:keepNext/>
        <w:pBdr>
          <w:top w:val="single" w:sz="6" w:space="1" w:color="000001"/>
          <w:bottom w:val="single" w:sz="6" w:space="2" w:color="000001"/>
        </w:pBdr>
        <w:spacing w:after="0" w:line="240" w:lineRule="auto"/>
        <w:jc w:val="both"/>
        <w:rPr>
          <w:rFonts w:cs="Calibri"/>
          <w:b/>
        </w:rPr>
      </w:pPr>
      <w:r w:rsidRPr="001A70B9">
        <w:rPr>
          <w:rFonts w:cs="Calibri"/>
          <w:b/>
        </w:rPr>
        <w:t>ΥΠΟΥΡΓΕΙΟ ΟΙΚΟΝΟΜΙΚΩΝ</w:t>
      </w:r>
    </w:p>
    <w:p w:rsidR="00C8351E" w:rsidRPr="001A70B9" w:rsidRDefault="00C8351E" w:rsidP="00C8351E">
      <w:pPr>
        <w:keepNext/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>Νίκης 5-7</w:t>
      </w:r>
    </w:p>
    <w:p w:rsidR="00C8351E" w:rsidRPr="001A70B9" w:rsidRDefault="00C8351E" w:rsidP="00C8351E">
      <w:pPr>
        <w:keepNext/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>10</w:t>
      </w:r>
      <w:r>
        <w:rPr>
          <w:rFonts w:cs="Calibri"/>
          <w:b/>
        </w:rPr>
        <w:t>563</w:t>
      </w:r>
      <w:r w:rsidRPr="001A70B9">
        <w:rPr>
          <w:rFonts w:cs="Calibri"/>
          <w:b/>
        </w:rPr>
        <w:t xml:space="preserve"> Αθήνα</w:t>
      </w:r>
    </w:p>
    <w:p w:rsidR="00C8351E" w:rsidRPr="001A70B9" w:rsidRDefault="00C8351E" w:rsidP="00C8351E">
      <w:pPr>
        <w:spacing w:after="0" w:line="240" w:lineRule="auto"/>
        <w:rPr>
          <w:rFonts w:cs="Calibri"/>
          <w:b/>
        </w:rPr>
      </w:pPr>
      <w:r w:rsidRPr="001A70B9">
        <w:rPr>
          <w:rFonts w:cs="Calibri"/>
          <w:b/>
        </w:rPr>
        <w:t xml:space="preserve">ΓΡΑΦΕΙΟ ΤΥΠΟΥ </w:t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  <w:t xml:space="preserve">                       </w:t>
      </w:r>
      <w:r w:rsidRPr="001A70B9">
        <w:rPr>
          <w:rFonts w:cs="Calibri"/>
          <w:b/>
        </w:rPr>
        <w:tab/>
      </w:r>
      <w:r w:rsidRPr="001A70B9">
        <w:rPr>
          <w:rFonts w:cs="Calibri"/>
          <w:b/>
        </w:rPr>
        <w:tab/>
        <w:t xml:space="preserve">            </w:t>
      </w:r>
    </w:p>
    <w:p w:rsidR="00C8351E" w:rsidRPr="001A70B9" w:rsidRDefault="00C8351E" w:rsidP="00C8351E">
      <w:pPr>
        <w:pBdr>
          <w:bottom w:val="single" w:sz="6" w:space="1" w:color="000001"/>
        </w:pBdr>
        <w:spacing w:after="0" w:line="240" w:lineRule="auto"/>
        <w:rPr>
          <w:rFonts w:cs="Calibri"/>
          <w:b/>
        </w:rPr>
      </w:pPr>
      <w:r w:rsidRPr="001A70B9">
        <w:rPr>
          <w:rFonts w:cs="Calibri"/>
          <w:b/>
          <w:lang w:val="en-US"/>
        </w:rPr>
        <w:t>e</w:t>
      </w:r>
      <w:r w:rsidRPr="001A70B9">
        <w:rPr>
          <w:rFonts w:cs="Calibri"/>
          <w:b/>
        </w:rPr>
        <w:t>-</w:t>
      </w:r>
      <w:r w:rsidRPr="001A70B9">
        <w:rPr>
          <w:rFonts w:cs="Calibri"/>
          <w:b/>
          <w:lang w:val="en-US"/>
        </w:rPr>
        <w:t>mail</w:t>
      </w:r>
      <w:r w:rsidRPr="001A70B9">
        <w:rPr>
          <w:rFonts w:cs="Calibri"/>
          <w:b/>
        </w:rPr>
        <w:t xml:space="preserve">: </w:t>
      </w:r>
      <w:r w:rsidRPr="001A70B9">
        <w:rPr>
          <w:rFonts w:cs="Calibri"/>
          <w:b/>
          <w:lang w:val="en-US"/>
        </w:rPr>
        <w:t>press</w:t>
      </w:r>
      <w:r w:rsidRPr="001A70B9">
        <w:rPr>
          <w:rFonts w:cs="Calibri"/>
          <w:b/>
        </w:rPr>
        <w:t>@</w:t>
      </w:r>
      <w:r w:rsidRPr="001A70B9">
        <w:rPr>
          <w:rFonts w:cs="Calibri"/>
          <w:b/>
          <w:lang w:val="en-US"/>
        </w:rPr>
        <w:t>minfin</w:t>
      </w:r>
      <w:r w:rsidRPr="001A70B9">
        <w:rPr>
          <w:rFonts w:cs="Calibri"/>
          <w:b/>
        </w:rPr>
        <w:t>.</w:t>
      </w:r>
      <w:r w:rsidRPr="001A70B9">
        <w:rPr>
          <w:rFonts w:cs="Calibri"/>
          <w:b/>
          <w:lang w:val="en-US"/>
        </w:rPr>
        <w:t>gr</w:t>
      </w:r>
    </w:p>
    <w:p w:rsidR="00C8351E" w:rsidRPr="001A70B9" w:rsidRDefault="00C8351E" w:rsidP="00C8351E">
      <w:pPr>
        <w:spacing w:after="0" w:line="240" w:lineRule="auto"/>
        <w:jc w:val="both"/>
        <w:rPr>
          <w:rFonts w:cs="Calibri"/>
        </w:rPr>
      </w:pPr>
    </w:p>
    <w:p w:rsidR="00D16E88" w:rsidRPr="0094113D" w:rsidRDefault="00D075B3" w:rsidP="00C8351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Πέμπτη</w:t>
      </w:r>
      <w:r w:rsidR="00DC5315">
        <w:rPr>
          <w:rFonts w:cs="Calibri"/>
          <w:b/>
        </w:rPr>
        <w:t xml:space="preserve">, </w:t>
      </w:r>
      <w:r>
        <w:rPr>
          <w:rFonts w:cs="Calibri"/>
          <w:b/>
        </w:rPr>
        <w:t>4</w:t>
      </w:r>
      <w:r w:rsidR="008E49BC" w:rsidRPr="00EF1194">
        <w:rPr>
          <w:rFonts w:cs="Calibri"/>
          <w:b/>
        </w:rPr>
        <w:t xml:space="preserve"> </w:t>
      </w:r>
      <w:r w:rsidR="00C8351E">
        <w:rPr>
          <w:rFonts w:cs="Calibri"/>
          <w:b/>
        </w:rPr>
        <w:t>Μαρτίου</w:t>
      </w:r>
      <w:r w:rsidR="00D16E88" w:rsidRPr="00EF1194">
        <w:rPr>
          <w:rFonts w:cs="Calibri"/>
          <w:b/>
        </w:rPr>
        <w:t xml:space="preserve"> 2021</w:t>
      </w:r>
    </w:p>
    <w:p w:rsidR="00D16E88" w:rsidRDefault="00D16E88" w:rsidP="00C8351E">
      <w:pPr>
        <w:pStyle w:val="Heading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="Calibri" w:hAnsi="Calibri" w:cs="Calibri"/>
          <w:sz w:val="22"/>
          <w:szCs w:val="22"/>
        </w:rPr>
      </w:pPr>
    </w:p>
    <w:p w:rsidR="0094113D" w:rsidRDefault="00D16E88" w:rsidP="00C8351E">
      <w:pPr>
        <w:pStyle w:val="Heading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="Calibri" w:hAnsi="Calibri" w:cs="Calibri"/>
          <w:sz w:val="24"/>
          <w:szCs w:val="24"/>
        </w:rPr>
      </w:pPr>
      <w:r w:rsidRPr="007A5B2B">
        <w:rPr>
          <w:rFonts w:ascii="Calibri" w:hAnsi="Calibri" w:cs="Calibri"/>
          <w:sz w:val="24"/>
          <w:szCs w:val="24"/>
        </w:rPr>
        <w:t>Δελτίο Τύπου</w:t>
      </w:r>
    </w:p>
    <w:p w:rsidR="0094113D" w:rsidRPr="007C1D11" w:rsidRDefault="0094113D" w:rsidP="00C8351E">
      <w:pPr>
        <w:pStyle w:val="Heading3"/>
        <w:numPr>
          <w:ilvl w:val="2"/>
          <w:numId w:val="1"/>
        </w:numPr>
        <w:suppressAutoHyphens/>
        <w:spacing w:before="0" w:after="0" w:line="240" w:lineRule="auto"/>
        <w:ind w:right="-1"/>
        <w:jc w:val="center"/>
        <w:rPr>
          <w:rFonts w:asciiTheme="minorHAnsi" w:eastAsiaTheme="minorEastAsia" w:hAnsiTheme="minorHAnsi" w:cs="Calibri"/>
          <w:b w:val="0"/>
          <w:bCs w:val="0"/>
          <w:sz w:val="22"/>
          <w:szCs w:val="22"/>
        </w:rPr>
      </w:pPr>
    </w:p>
    <w:p w:rsidR="000F0780" w:rsidRPr="00C8351E" w:rsidRDefault="000A2B55" w:rsidP="00C8351E">
      <w:pPr>
        <w:shd w:val="clear" w:color="auto" w:fill="FFFFFF"/>
        <w:spacing w:after="0" w:line="240" w:lineRule="auto"/>
        <w:jc w:val="center"/>
        <w:rPr>
          <w:rFonts w:cs="Calibri"/>
          <w:b/>
          <w:sz w:val="24"/>
        </w:rPr>
      </w:pPr>
      <w:r w:rsidRPr="00C8351E">
        <w:rPr>
          <w:rFonts w:cs="Calibri"/>
          <w:b/>
          <w:sz w:val="24"/>
        </w:rPr>
        <w:t>Έναρξη διαδικασίας εξυγίανσης επιχειρήσεων</w:t>
      </w:r>
      <w:r w:rsidR="00A132B1" w:rsidRPr="00C8351E">
        <w:rPr>
          <w:rFonts w:cs="Calibri"/>
          <w:b/>
          <w:sz w:val="24"/>
        </w:rPr>
        <w:t xml:space="preserve">, </w:t>
      </w:r>
    </w:p>
    <w:p w:rsidR="00D16E88" w:rsidRPr="00274B8C" w:rsidRDefault="00A132B1" w:rsidP="00C8351E">
      <w:pPr>
        <w:shd w:val="clear" w:color="auto" w:fill="FFFFFF"/>
        <w:spacing w:after="0" w:line="240" w:lineRule="auto"/>
        <w:jc w:val="center"/>
        <w:rPr>
          <w:rFonts w:cs="Calibri"/>
          <w:b/>
        </w:rPr>
      </w:pPr>
      <w:r w:rsidRPr="00C8351E">
        <w:rPr>
          <w:rFonts w:cs="Calibri"/>
          <w:b/>
          <w:sz w:val="24"/>
        </w:rPr>
        <w:t>σύμφωνα με το</w:t>
      </w:r>
      <w:r w:rsidR="00D075B3">
        <w:rPr>
          <w:rFonts w:cs="Calibri"/>
          <w:b/>
          <w:sz w:val="24"/>
        </w:rPr>
        <w:t>ν</w:t>
      </w:r>
      <w:r w:rsidR="00467E24" w:rsidRPr="00C8351E">
        <w:rPr>
          <w:rFonts w:cs="Calibri"/>
          <w:b/>
          <w:sz w:val="24"/>
        </w:rPr>
        <w:t xml:space="preserve"> </w:t>
      </w:r>
      <w:r w:rsidR="00274B8C" w:rsidRPr="00C8351E">
        <w:rPr>
          <w:rFonts w:cs="Calibri"/>
          <w:b/>
          <w:sz w:val="24"/>
        </w:rPr>
        <w:t>νόμο</w:t>
      </w:r>
      <w:r w:rsidR="000F0780" w:rsidRPr="00C8351E">
        <w:rPr>
          <w:rFonts w:cs="Calibri"/>
          <w:b/>
          <w:sz w:val="24"/>
        </w:rPr>
        <w:t xml:space="preserve"> </w:t>
      </w:r>
      <w:r w:rsidR="00467E24" w:rsidRPr="00C8351E">
        <w:rPr>
          <w:rFonts w:cs="Calibri"/>
          <w:b/>
          <w:sz w:val="24"/>
        </w:rPr>
        <w:t>«Ρύθμιση Οφειλών και Παροχή 2</w:t>
      </w:r>
      <w:r w:rsidR="00467E24" w:rsidRPr="00C8351E">
        <w:rPr>
          <w:rFonts w:cs="Calibri"/>
          <w:b/>
          <w:sz w:val="24"/>
          <w:vertAlign w:val="superscript"/>
        </w:rPr>
        <w:t>ης</w:t>
      </w:r>
      <w:r w:rsidR="00467E24" w:rsidRPr="00C8351E">
        <w:rPr>
          <w:rFonts w:cs="Calibri"/>
          <w:b/>
          <w:sz w:val="24"/>
        </w:rPr>
        <w:t xml:space="preserve"> Ευκαιρίας»</w:t>
      </w:r>
      <w:r w:rsidR="00274B8C" w:rsidRPr="00C8351E">
        <w:rPr>
          <w:rFonts w:cs="Calibri"/>
          <w:b/>
          <w:sz w:val="24"/>
        </w:rPr>
        <w:t xml:space="preserve"> (</w:t>
      </w:r>
      <w:r w:rsidR="00D075B3">
        <w:rPr>
          <w:rFonts w:cs="Calibri"/>
          <w:b/>
          <w:sz w:val="24"/>
        </w:rPr>
        <w:t>ν</w:t>
      </w:r>
      <w:r w:rsidR="00274B8C" w:rsidRPr="00C8351E">
        <w:rPr>
          <w:rFonts w:cs="Calibri"/>
          <w:b/>
          <w:sz w:val="24"/>
        </w:rPr>
        <w:t>.</w:t>
      </w:r>
      <w:r w:rsidR="00D075B3">
        <w:rPr>
          <w:rFonts w:cs="Calibri"/>
          <w:b/>
          <w:sz w:val="24"/>
        </w:rPr>
        <w:t xml:space="preserve"> </w:t>
      </w:r>
      <w:r w:rsidR="00274B8C" w:rsidRPr="00C8351E">
        <w:rPr>
          <w:rFonts w:cs="Calibri"/>
          <w:b/>
          <w:sz w:val="24"/>
        </w:rPr>
        <w:t>4738/2020)</w:t>
      </w: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</w:p>
    <w:p w:rsidR="00C8351E" w:rsidRDefault="00C8351E" w:rsidP="00C8351E">
      <w:pPr>
        <w:spacing w:after="0" w:line="240" w:lineRule="auto"/>
        <w:jc w:val="both"/>
        <w:rPr>
          <w:rFonts w:cs="Calibri"/>
        </w:rPr>
      </w:pP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Το Υπουργείο Οικονομικών ανακοινώνει ότι από την </w:t>
      </w:r>
      <w:r w:rsidRPr="007949AF">
        <w:rPr>
          <w:rFonts w:cs="Calibri"/>
        </w:rPr>
        <w:t>1</w:t>
      </w:r>
      <w:r w:rsidRPr="007949AF">
        <w:rPr>
          <w:rFonts w:cs="Calibri"/>
          <w:vertAlign w:val="superscript"/>
        </w:rPr>
        <w:t>η</w:t>
      </w:r>
      <w:r w:rsidRPr="007949AF">
        <w:rPr>
          <w:rFonts w:cs="Calibri"/>
        </w:rPr>
        <w:t xml:space="preserve"> Μαρτίου</w:t>
      </w:r>
      <w:r w:rsidR="008B4A6A" w:rsidRPr="008B4A6A">
        <w:rPr>
          <w:rFonts w:cs="Calibri"/>
        </w:rPr>
        <w:t xml:space="preserve"> 2021</w:t>
      </w:r>
      <w:r>
        <w:rPr>
          <w:rFonts w:cs="Calibri"/>
        </w:rPr>
        <w:t>,</w:t>
      </w:r>
      <w:r w:rsidR="008B4A6A" w:rsidRPr="008B4A6A">
        <w:rPr>
          <w:rFonts w:cs="Calibri"/>
        </w:rPr>
        <w:t xml:space="preserve"> </w:t>
      </w:r>
      <w:r w:rsidR="008B4A6A">
        <w:rPr>
          <w:rFonts w:cs="Calibri"/>
        </w:rPr>
        <w:t xml:space="preserve">στο πλαίσιο εφαρμογής του </w:t>
      </w:r>
      <w:r w:rsidR="00D075B3">
        <w:rPr>
          <w:rFonts w:cs="Calibri"/>
        </w:rPr>
        <w:t>ν</w:t>
      </w:r>
      <w:r w:rsidR="008B4A6A">
        <w:rPr>
          <w:rFonts w:cs="Calibri"/>
        </w:rPr>
        <w:t>.</w:t>
      </w:r>
      <w:r w:rsidR="00D075B3">
        <w:rPr>
          <w:rFonts w:cs="Calibri"/>
        </w:rPr>
        <w:t xml:space="preserve"> </w:t>
      </w:r>
      <w:r w:rsidR="008B4A6A">
        <w:rPr>
          <w:rFonts w:cs="Calibri"/>
        </w:rPr>
        <w:t>4738/2020 γι</w:t>
      </w:r>
      <w:r w:rsidR="00D075B3">
        <w:rPr>
          <w:rFonts w:cs="Calibri"/>
        </w:rPr>
        <w:t>α τη ρύθμιση οφειλών και παροχή</w:t>
      </w:r>
      <w:r w:rsidR="008B4A6A">
        <w:rPr>
          <w:rFonts w:cs="Calibri"/>
        </w:rPr>
        <w:t xml:space="preserve"> 2</w:t>
      </w:r>
      <w:r w:rsidR="008B4A6A" w:rsidRPr="008B4A6A">
        <w:rPr>
          <w:rFonts w:cs="Calibri"/>
          <w:vertAlign w:val="superscript"/>
        </w:rPr>
        <w:t>ης</w:t>
      </w:r>
      <w:r w:rsidR="008B4A6A">
        <w:rPr>
          <w:rFonts w:cs="Calibri"/>
        </w:rPr>
        <w:t xml:space="preserve"> ευκαιρίας, </w:t>
      </w:r>
      <w:r w:rsidR="005B7D7C">
        <w:rPr>
          <w:rFonts w:cs="Calibri"/>
        </w:rPr>
        <w:t>τέθηκε σε ισχύ</w:t>
      </w:r>
      <w:r>
        <w:rPr>
          <w:rFonts w:cs="Calibri"/>
        </w:rPr>
        <w:t xml:space="preserve"> η διαδικασία εξυγίανσης των επιχειρήσεων, οι οποίες αντιμετωπίζουν προβλήματα υπερχρέωσης.</w:t>
      </w:r>
    </w:p>
    <w:p w:rsid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Με την εν λόγω διαδικασία, οι </w:t>
      </w:r>
      <w:r w:rsidRPr="00C42405">
        <w:rPr>
          <w:rFonts w:cs="Calibri"/>
        </w:rPr>
        <w:t>επιχειρήσεις</w:t>
      </w:r>
      <w:r>
        <w:rPr>
          <w:rFonts w:cs="Calibri"/>
        </w:rPr>
        <w:t>, καθώς</w:t>
      </w:r>
      <w:r w:rsidRPr="00C42405">
        <w:rPr>
          <w:rFonts w:cs="Calibri"/>
        </w:rPr>
        <w:t xml:space="preserve"> και </w:t>
      </w:r>
      <w:r w:rsidR="008B4A6A">
        <w:rPr>
          <w:rFonts w:cs="Calibri"/>
        </w:rPr>
        <w:t xml:space="preserve">τα </w:t>
      </w:r>
      <w:r w:rsidRPr="00C42405">
        <w:rPr>
          <w:rFonts w:cs="Calibri"/>
        </w:rPr>
        <w:t xml:space="preserve">φυσικά πρόσωπα </w:t>
      </w:r>
      <w:r>
        <w:rPr>
          <w:rFonts w:cs="Calibri"/>
        </w:rPr>
        <w:t xml:space="preserve">που ασκούν </w:t>
      </w:r>
      <w:r w:rsidRPr="00C42405">
        <w:rPr>
          <w:rFonts w:cs="Calibri"/>
        </w:rPr>
        <w:t>επιχειρηματική δραστηριότητα</w:t>
      </w:r>
      <w:r>
        <w:rPr>
          <w:rFonts w:cs="Calibri"/>
        </w:rPr>
        <w:t xml:space="preserve"> (δηλ</w:t>
      </w:r>
      <w:r w:rsidR="00D075B3">
        <w:rPr>
          <w:rFonts w:cs="Calibri"/>
        </w:rPr>
        <w:t>αδή,</w:t>
      </w:r>
      <w:r>
        <w:rPr>
          <w:rFonts w:cs="Calibri"/>
        </w:rPr>
        <w:t xml:space="preserve"> ελεύθεροι επαγγελματίες – επιτηδευματίες)</w:t>
      </w:r>
      <w:r w:rsidRPr="00C42405">
        <w:rPr>
          <w:rFonts w:cs="Calibri"/>
        </w:rPr>
        <w:t xml:space="preserve">, </w:t>
      </w:r>
      <w:r>
        <w:rPr>
          <w:rFonts w:cs="Calibri"/>
        </w:rPr>
        <w:t xml:space="preserve">έχουν τη δυνατότητα, ακολουθώντας συγκεκριμένα βήματα, να ρυθμίσουν τις οφειλές τους και </w:t>
      </w:r>
      <w:r w:rsidRPr="006C69AD">
        <w:rPr>
          <w:rFonts w:cs="Calibri"/>
        </w:rPr>
        <w:t>να συνεχίσουν τη</w:t>
      </w:r>
      <w:r>
        <w:rPr>
          <w:rFonts w:cs="Calibri"/>
        </w:rPr>
        <w:t xml:space="preserve">ν επιχειρηματική </w:t>
      </w:r>
      <w:r w:rsidRPr="006C69AD">
        <w:rPr>
          <w:rFonts w:cs="Calibri"/>
        </w:rPr>
        <w:t xml:space="preserve">δραστηριότητά </w:t>
      </w:r>
      <w:r>
        <w:rPr>
          <w:rFonts w:cs="Calibri"/>
        </w:rPr>
        <w:t>τους.</w:t>
      </w:r>
    </w:p>
    <w:p w:rsidR="00BB32C4" w:rsidRDefault="00BB32C4" w:rsidP="00C8351E">
      <w:pPr>
        <w:spacing w:after="0" w:line="240" w:lineRule="auto"/>
        <w:jc w:val="both"/>
        <w:rPr>
          <w:rFonts w:cs="Calibri"/>
        </w:rPr>
      </w:pPr>
    </w:p>
    <w:p w:rsidR="00C6215C" w:rsidRPr="00C6215C" w:rsidRDefault="00C6215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Ειδικότερα, τα βήματα που προβλέπονται στη διαδικασία είναι τα εξής</w:t>
      </w:r>
      <w:r w:rsidRPr="00C6215C">
        <w:rPr>
          <w:rFonts w:cs="Calibri"/>
        </w:rPr>
        <w:t>:</w:t>
      </w:r>
    </w:p>
    <w:p w:rsidR="00A05A09" w:rsidRDefault="00C6215C" w:rsidP="00C8351E">
      <w:pPr>
        <w:spacing w:after="0" w:line="240" w:lineRule="auto"/>
        <w:jc w:val="both"/>
        <w:rPr>
          <w:rFonts w:cs="Calibri"/>
        </w:rPr>
      </w:pPr>
      <w:r w:rsidRPr="005368FE">
        <w:rPr>
          <w:rFonts w:cs="Calibri"/>
          <w:b/>
        </w:rPr>
        <w:t>1</w:t>
      </w:r>
      <w:r w:rsidRPr="005368FE">
        <w:rPr>
          <w:rFonts w:cs="Calibri"/>
          <w:b/>
          <w:vertAlign w:val="superscript"/>
        </w:rPr>
        <w:t>ο</w:t>
      </w:r>
      <w:r w:rsidR="005368FE" w:rsidRPr="005368FE">
        <w:rPr>
          <w:rFonts w:cs="Calibri"/>
          <w:b/>
        </w:rPr>
        <w:t xml:space="preserve"> Βήμα.</w:t>
      </w:r>
      <w:r w:rsidR="008B4A6A">
        <w:rPr>
          <w:rFonts w:cs="Calibri"/>
        </w:rPr>
        <w:t xml:space="preserve"> Κατάρτιση</w:t>
      </w:r>
      <w:r w:rsidR="00A05A09">
        <w:rPr>
          <w:rFonts w:cs="Calibri"/>
        </w:rPr>
        <w:t xml:space="preserve"> </w:t>
      </w:r>
      <w:r w:rsidR="008B4A6A">
        <w:rPr>
          <w:rFonts w:cs="Calibri"/>
        </w:rPr>
        <w:t>έ</w:t>
      </w:r>
      <w:r w:rsidR="0026013B">
        <w:rPr>
          <w:rFonts w:cs="Calibri"/>
        </w:rPr>
        <w:t>κθεση</w:t>
      </w:r>
      <w:r w:rsidR="00A5134E">
        <w:rPr>
          <w:rFonts w:cs="Calibri"/>
        </w:rPr>
        <w:t>ς</w:t>
      </w:r>
      <w:r w:rsidR="0026013B">
        <w:rPr>
          <w:rFonts w:cs="Calibri"/>
        </w:rPr>
        <w:t xml:space="preserve"> </w:t>
      </w:r>
      <w:r w:rsidR="008B4A6A">
        <w:rPr>
          <w:rFonts w:cs="Calibri"/>
        </w:rPr>
        <w:t xml:space="preserve">από </w:t>
      </w:r>
      <w:r w:rsidR="0026013B">
        <w:rPr>
          <w:rFonts w:cs="Calibri"/>
        </w:rPr>
        <w:t>εμπειρογνώμονα</w:t>
      </w:r>
      <w:r w:rsidR="00C068FB">
        <w:rPr>
          <w:rFonts w:cs="Calibri"/>
        </w:rPr>
        <w:t xml:space="preserve"> </w:t>
      </w:r>
      <w:r w:rsidR="00476543">
        <w:rPr>
          <w:rFonts w:cs="Calibri"/>
        </w:rPr>
        <w:t xml:space="preserve">και </w:t>
      </w:r>
      <w:r w:rsidR="00A5134E">
        <w:rPr>
          <w:rFonts w:cs="Calibri"/>
        </w:rPr>
        <w:t>Σχ</w:t>
      </w:r>
      <w:r w:rsidR="00476543">
        <w:rPr>
          <w:rFonts w:cs="Calibri"/>
        </w:rPr>
        <w:t xml:space="preserve">εδίου </w:t>
      </w:r>
      <w:r w:rsidR="00BC7816">
        <w:rPr>
          <w:rFonts w:cs="Calibri"/>
        </w:rPr>
        <w:t>Συμφωνία</w:t>
      </w:r>
      <w:r w:rsidR="00A5134E">
        <w:rPr>
          <w:rFonts w:cs="Calibri"/>
        </w:rPr>
        <w:t>ς</w:t>
      </w:r>
      <w:r w:rsidR="0026013B">
        <w:rPr>
          <w:rFonts w:cs="Calibri"/>
        </w:rPr>
        <w:t xml:space="preserve"> </w:t>
      </w:r>
      <w:r w:rsidR="00476543">
        <w:rPr>
          <w:rFonts w:cs="Calibri"/>
        </w:rPr>
        <w:t>Αναδιάρθρωσης Οφειλών</w:t>
      </w:r>
      <w:r w:rsidR="0026013B">
        <w:rPr>
          <w:rFonts w:cs="Calibri"/>
        </w:rPr>
        <w:t>.</w:t>
      </w:r>
    </w:p>
    <w:p w:rsidR="00DE247A" w:rsidRDefault="00DE247A" w:rsidP="00C8351E">
      <w:pPr>
        <w:spacing w:after="0" w:line="240" w:lineRule="auto"/>
        <w:jc w:val="both"/>
        <w:rPr>
          <w:rFonts w:cs="Calibri"/>
        </w:rPr>
      </w:pPr>
      <w:r w:rsidRPr="00DE247A">
        <w:rPr>
          <w:rFonts w:cs="Calibri"/>
        </w:rPr>
        <w:t xml:space="preserve">Η </w:t>
      </w:r>
      <w:r w:rsidR="00CA76FF">
        <w:rPr>
          <w:rFonts w:cs="Calibri"/>
        </w:rPr>
        <w:t>συγκεκριμένη έκθ</w:t>
      </w:r>
      <w:r w:rsidRPr="00DE247A">
        <w:rPr>
          <w:rFonts w:cs="Calibri"/>
        </w:rPr>
        <w:t>εση θα πρέπει να περιέχει</w:t>
      </w:r>
      <w:r>
        <w:rPr>
          <w:rFonts w:cs="Calibri"/>
        </w:rPr>
        <w:t xml:space="preserve">, </w:t>
      </w:r>
      <w:r w:rsidRPr="00DE247A">
        <w:rPr>
          <w:rFonts w:cs="Calibri"/>
        </w:rPr>
        <w:t>μεταξύ άλλων</w:t>
      </w:r>
      <w:r>
        <w:rPr>
          <w:rFonts w:cs="Calibri"/>
        </w:rPr>
        <w:t>,</w:t>
      </w:r>
      <w:r w:rsidRPr="00DE247A">
        <w:rPr>
          <w:rFonts w:cs="Calibri"/>
        </w:rPr>
        <w:t xml:space="preserve"> το προφίλ του οφειλέτη, την υφιστάμενη οικονομική κατάσταση της επιχείρησης, τις οφειλές </w:t>
      </w:r>
      <w:r>
        <w:rPr>
          <w:rFonts w:cs="Calibri"/>
        </w:rPr>
        <w:t xml:space="preserve">του οφειλέτη </w:t>
      </w:r>
      <w:r w:rsidRPr="00DE247A">
        <w:rPr>
          <w:rFonts w:cs="Calibri"/>
        </w:rPr>
        <w:t xml:space="preserve">ανά κατηγορία </w:t>
      </w:r>
      <w:r w:rsidR="00BB32C4">
        <w:rPr>
          <w:rFonts w:cs="Calibri"/>
        </w:rPr>
        <w:t>π</w:t>
      </w:r>
      <w:r w:rsidRPr="00DE247A">
        <w:rPr>
          <w:rFonts w:cs="Calibri"/>
        </w:rPr>
        <w:t>ιστωτή</w:t>
      </w:r>
      <w:r w:rsidR="005368FE">
        <w:rPr>
          <w:rFonts w:cs="Calibri"/>
        </w:rPr>
        <w:t xml:space="preserve">, την επισκόπηση επιχειρηματικού σχεδίου, την οικονομική ανάλυση βιωσιμότητας, τη </w:t>
      </w:r>
      <w:r w:rsidR="005368FE" w:rsidRPr="006C69AD">
        <w:rPr>
          <w:rFonts w:cs="Calibri"/>
        </w:rPr>
        <w:t>διενέργεια ελέγχων</w:t>
      </w:r>
      <w:r w:rsidR="005368FE">
        <w:rPr>
          <w:rFonts w:cs="Calibri"/>
        </w:rPr>
        <w:t xml:space="preserve"> – εξακριβώσεων, τις </w:t>
      </w:r>
      <w:r w:rsidR="005368FE" w:rsidRPr="006C69AD">
        <w:rPr>
          <w:rFonts w:cs="Calibri"/>
        </w:rPr>
        <w:t>εναλλακτικές λύσεις ρύθμισης των οφειλών της επιχείρησης</w:t>
      </w:r>
      <w:r w:rsidR="005368FE">
        <w:rPr>
          <w:rFonts w:cs="Calibri"/>
        </w:rPr>
        <w:t xml:space="preserve"> και τις </w:t>
      </w:r>
      <w:r w:rsidR="005368FE" w:rsidRPr="00B1618A">
        <w:rPr>
          <w:rFonts w:cs="Calibri"/>
        </w:rPr>
        <w:t>βασικές αρχές προτεινόμενης συμφωνίας εξυγίανσης</w:t>
      </w:r>
      <w:r w:rsidR="005368FE">
        <w:rPr>
          <w:rFonts w:cs="Calibri"/>
        </w:rPr>
        <w:t>.</w:t>
      </w:r>
    </w:p>
    <w:p w:rsidR="005368FE" w:rsidRDefault="005368FE" w:rsidP="00C8351E">
      <w:pPr>
        <w:spacing w:after="0" w:line="240" w:lineRule="auto"/>
        <w:jc w:val="both"/>
        <w:rPr>
          <w:rFonts w:cs="Calibri"/>
        </w:rPr>
      </w:pPr>
      <w:r w:rsidRPr="00C6215C">
        <w:rPr>
          <w:rFonts w:cs="Calibri"/>
        </w:rPr>
        <w:t>Όλοι οι εγκεκριμένοι εμπειρογνώμονες είναι διαθέσιμοι στο ειδικό Μητρώο Εμπειρογνωμόνων Αναδιάρθρωσης Οφειλών της Ειδικής Γραμματείας Διαχείρισης Ιδιωτικού Χρέους του Υπουργείου Οικονομικών</w:t>
      </w:r>
      <w:r w:rsidR="00BB32C4">
        <w:rPr>
          <w:rFonts w:cs="Calibri"/>
        </w:rPr>
        <w:t xml:space="preserve"> (</w:t>
      </w:r>
      <w:hyperlink r:id="rId9" w:history="1">
        <w:r w:rsidRPr="00C6215C">
          <w:rPr>
            <w:rStyle w:val="Hyperlink"/>
            <w:rFonts w:cs="Calibri"/>
            <w:lang w:val="en-US"/>
          </w:rPr>
          <w:t>www</w:t>
        </w:r>
        <w:r w:rsidRPr="00C6215C">
          <w:rPr>
            <w:rStyle w:val="Hyperlink"/>
            <w:rFonts w:cs="Calibri"/>
          </w:rPr>
          <w:t>.</w:t>
        </w:r>
        <w:r w:rsidRPr="00C6215C">
          <w:rPr>
            <w:rStyle w:val="Hyperlink"/>
            <w:rFonts w:cs="Calibri"/>
            <w:lang w:val="en-US"/>
          </w:rPr>
          <w:t>keyd</w:t>
        </w:r>
        <w:r w:rsidRPr="00C6215C">
          <w:rPr>
            <w:rStyle w:val="Hyperlink"/>
            <w:rFonts w:cs="Calibri"/>
          </w:rPr>
          <w:t>.</w:t>
        </w:r>
        <w:r w:rsidRPr="00C6215C">
          <w:rPr>
            <w:rStyle w:val="Hyperlink"/>
            <w:rFonts w:cs="Calibri"/>
            <w:lang w:val="en-US"/>
          </w:rPr>
          <w:t>gov</w:t>
        </w:r>
        <w:r w:rsidRPr="00C6215C">
          <w:rPr>
            <w:rStyle w:val="Hyperlink"/>
            <w:rFonts w:cs="Calibri"/>
          </w:rPr>
          <w:t>.</w:t>
        </w:r>
        <w:r w:rsidRPr="00C6215C">
          <w:rPr>
            <w:rStyle w:val="Hyperlink"/>
            <w:rFonts w:cs="Calibri"/>
            <w:lang w:val="en-US"/>
          </w:rPr>
          <w:t>gr</w:t>
        </w:r>
      </w:hyperlink>
      <w:r w:rsidRPr="00C6215C">
        <w:rPr>
          <w:rFonts w:cs="Calibri"/>
        </w:rPr>
        <w:t xml:space="preserve"> ή </w:t>
      </w:r>
      <w:hyperlink r:id="rId10" w:history="1">
        <w:r w:rsidRPr="00C6215C">
          <w:rPr>
            <w:rStyle w:val="Hyperlink"/>
            <w:rFonts w:cs="Calibri"/>
            <w:lang w:val="en-US"/>
          </w:rPr>
          <w:t>www</w:t>
        </w:r>
        <w:r w:rsidRPr="00C6215C">
          <w:rPr>
            <w:rStyle w:val="Hyperlink"/>
            <w:rFonts w:cs="Calibri"/>
          </w:rPr>
          <w:t>.</w:t>
        </w:r>
        <w:r w:rsidRPr="00EF34ED">
          <w:rPr>
            <w:rStyle w:val="Hyperlink"/>
          </w:rPr>
          <w:t>gov.g</w:t>
        </w:r>
        <w:r w:rsidRPr="00C6215C">
          <w:rPr>
            <w:rStyle w:val="Hyperlink"/>
            <w:lang w:val="en-US"/>
          </w:rPr>
          <w:t>r</w:t>
        </w:r>
      </w:hyperlink>
      <w:r w:rsidR="00BB32C4">
        <w:t>),</w:t>
      </w:r>
      <w:r w:rsidRPr="00C6215C">
        <w:rPr>
          <w:rStyle w:val="Hyperlink"/>
          <w:u w:val="none"/>
        </w:rPr>
        <w:t xml:space="preserve"> </w:t>
      </w:r>
      <w:r w:rsidRPr="00C6215C">
        <w:rPr>
          <w:rFonts w:cs="Calibri"/>
        </w:rPr>
        <w:t>από το οποίο οι ενδιαφερόμενοι οφειλέτες μπορούν να επιλέξουν εμπειρογνώμονα για την έναρξη της διαδικασίας της εξυγίανσης.</w:t>
      </w:r>
      <w:r w:rsidRPr="00C6215C">
        <w:rPr>
          <w:rStyle w:val="Hyperlink"/>
          <w:u w:val="none"/>
        </w:rPr>
        <w:t xml:space="preserve"> </w:t>
      </w:r>
      <w:r w:rsidRPr="00C6215C">
        <w:rPr>
          <w:rFonts w:cs="Calibri"/>
        </w:rPr>
        <w:t>Υπενθυμίζεται ότι από τις 15</w:t>
      </w:r>
      <w:r w:rsidR="00AD2800">
        <w:rPr>
          <w:rFonts w:cs="Calibri"/>
        </w:rPr>
        <w:t>.</w:t>
      </w:r>
      <w:r w:rsidRPr="00C6215C">
        <w:rPr>
          <w:rFonts w:cs="Calibri"/>
        </w:rPr>
        <w:t>2</w:t>
      </w:r>
      <w:r w:rsidR="00AD2800">
        <w:rPr>
          <w:rFonts w:cs="Calibri"/>
        </w:rPr>
        <w:t>.</w:t>
      </w:r>
      <w:r w:rsidRPr="00C6215C">
        <w:rPr>
          <w:rFonts w:cs="Calibri"/>
        </w:rPr>
        <w:t>2021 έχει τεθεί σε λειτουργία το εν λόγω Μητρώο, στο οποίο μπορούν να εγγράφονται φυσικά και νομικά πρόσωπα που κατέχουν εξειδικευμένη χρηματοοικονομική εμπειρία σε αναδιαρθρώσεις οφειλών, συμπεριλαμβανομένων των οικονομολόγων, λογιστών – φοροτεχνικών Α΄ τάξης και ορκωτών ελεγκτών.</w:t>
      </w:r>
    </w:p>
    <w:p w:rsidR="0026013B" w:rsidRDefault="0026013B" w:rsidP="00C8351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</w:p>
    <w:p w:rsidR="0026013B" w:rsidRDefault="0026013B" w:rsidP="00C8351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  <w:r w:rsidRPr="005368FE">
        <w:rPr>
          <w:rFonts w:cs="Calibri"/>
          <w:b/>
        </w:rPr>
        <w:t>2</w:t>
      </w:r>
      <w:r w:rsidRPr="005368FE">
        <w:rPr>
          <w:rFonts w:cs="Calibri"/>
          <w:b/>
          <w:vertAlign w:val="superscript"/>
        </w:rPr>
        <w:t>ο</w:t>
      </w:r>
      <w:r w:rsidR="005368FE" w:rsidRPr="005368FE">
        <w:rPr>
          <w:rFonts w:cs="Calibri"/>
          <w:b/>
        </w:rPr>
        <w:t xml:space="preserve"> Βήμα.</w:t>
      </w:r>
      <w:r>
        <w:rPr>
          <w:rFonts w:cs="Calibri"/>
        </w:rPr>
        <w:t xml:space="preserve"> Αξιολόγηση </w:t>
      </w:r>
      <w:r w:rsidR="00B4490A">
        <w:rPr>
          <w:rFonts w:cs="Calibri"/>
        </w:rPr>
        <w:t xml:space="preserve">της έκθεσης εμπειρογνώμονα </w:t>
      </w:r>
      <w:r w:rsidR="00C80A9D">
        <w:rPr>
          <w:rFonts w:cs="Calibri"/>
        </w:rPr>
        <w:t xml:space="preserve">και ψήφιση του </w:t>
      </w:r>
      <w:r w:rsidR="00994102">
        <w:rPr>
          <w:rFonts w:cs="Calibri"/>
        </w:rPr>
        <w:t>Σχεδίου Συμφωνίας Εξυγίανσης</w:t>
      </w:r>
      <w:r>
        <w:rPr>
          <w:rFonts w:cs="Calibri"/>
        </w:rPr>
        <w:t xml:space="preserve"> από τους πιστωτές.</w:t>
      </w:r>
    </w:p>
    <w:p w:rsidR="0026013B" w:rsidRPr="0026013B" w:rsidRDefault="0026013B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Οι πιστωτές αξιολογούν </w:t>
      </w:r>
      <w:r w:rsidR="001A7C23">
        <w:rPr>
          <w:rFonts w:cs="Calibri"/>
        </w:rPr>
        <w:t xml:space="preserve">την έκθεση του εμπειρογνώμονα και </w:t>
      </w:r>
      <w:r w:rsidR="00994102">
        <w:rPr>
          <w:rFonts w:cs="Calibri"/>
        </w:rPr>
        <w:t>ψηφίζο</w:t>
      </w:r>
      <w:r w:rsidR="00DD16CF">
        <w:rPr>
          <w:rFonts w:cs="Calibri"/>
        </w:rPr>
        <w:t>υ</w:t>
      </w:r>
      <w:r w:rsidR="00994102">
        <w:rPr>
          <w:rFonts w:cs="Calibri"/>
        </w:rPr>
        <w:t xml:space="preserve">ν </w:t>
      </w:r>
      <w:r w:rsidRPr="0026013B">
        <w:rPr>
          <w:rFonts w:cs="Calibri"/>
        </w:rPr>
        <w:t>υπέρ ή κατά</w:t>
      </w:r>
      <w:r w:rsidR="005368FE">
        <w:rPr>
          <w:rFonts w:cs="Calibri"/>
        </w:rPr>
        <w:t xml:space="preserve"> τ</w:t>
      </w:r>
      <w:r w:rsidR="00DD16CF">
        <w:rPr>
          <w:rFonts w:cs="Calibri"/>
        </w:rPr>
        <w:t>ου</w:t>
      </w:r>
      <w:r w:rsidR="005368FE">
        <w:rPr>
          <w:rFonts w:cs="Calibri"/>
        </w:rPr>
        <w:t xml:space="preserve"> </w:t>
      </w:r>
      <w:r w:rsidR="00DD16CF" w:rsidRPr="00DD16CF">
        <w:rPr>
          <w:rFonts w:cs="Calibri"/>
        </w:rPr>
        <w:t>Σχ</w:t>
      </w:r>
      <w:r w:rsidR="00DD16CF">
        <w:rPr>
          <w:rFonts w:cs="Calibri"/>
        </w:rPr>
        <w:t xml:space="preserve">εδίου </w:t>
      </w:r>
      <w:r w:rsidR="005368FE">
        <w:rPr>
          <w:rFonts w:cs="Calibri"/>
        </w:rPr>
        <w:t>Συμφωνίας</w:t>
      </w:r>
      <w:r w:rsidR="00DD16CF">
        <w:rPr>
          <w:rFonts w:cs="Calibri"/>
        </w:rPr>
        <w:t xml:space="preserve"> </w:t>
      </w:r>
      <w:r w:rsidR="00DD16CF" w:rsidRPr="00DD16CF">
        <w:rPr>
          <w:rFonts w:cs="Calibri"/>
        </w:rPr>
        <w:t>Εξυγίανσης</w:t>
      </w:r>
      <w:r w:rsidR="00BC7816">
        <w:rPr>
          <w:rFonts w:cs="Calibri"/>
        </w:rPr>
        <w:t>.</w:t>
      </w:r>
    </w:p>
    <w:p w:rsidR="00D05070" w:rsidRDefault="0026013B" w:rsidP="00C8351E">
      <w:pPr>
        <w:spacing w:after="0" w:line="240" w:lineRule="auto"/>
        <w:jc w:val="both"/>
        <w:rPr>
          <w:rFonts w:cs="Calibri"/>
        </w:rPr>
      </w:pPr>
      <w:r w:rsidRPr="0026013B">
        <w:rPr>
          <w:rFonts w:cs="Calibri"/>
        </w:rPr>
        <w:t xml:space="preserve">Η ψηφοφορία διενεργείται </w:t>
      </w:r>
      <w:r w:rsidR="005368FE">
        <w:rPr>
          <w:rFonts w:cs="Calibri"/>
        </w:rPr>
        <w:t>ηλεκτρονικά</w:t>
      </w:r>
      <w:r w:rsidR="00AD2800">
        <w:rPr>
          <w:rFonts w:cs="Calibri"/>
        </w:rPr>
        <w:t>,</w:t>
      </w:r>
      <w:r w:rsidR="005368FE">
        <w:rPr>
          <w:rFonts w:cs="Calibri"/>
        </w:rPr>
        <w:t xml:space="preserve"> </w:t>
      </w:r>
      <w:r w:rsidRPr="0026013B">
        <w:rPr>
          <w:rFonts w:cs="Calibri"/>
        </w:rPr>
        <w:t xml:space="preserve">μέσω </w:t>
      </w:r>
      <w:r w:rsidR="00D05070">
        <w:rPr>
          <w:rFonts w:cs="Calibri"/>
        </w:rPr>
        <w:t>της Ηλεκτρονικής</w:t>
      </w:r>
      <w:r w:rsidRPr="0026013B">
        <w:rPr>
          <w:rFonts w:cs="Calibri"/>
        </w:rPr>
        <w:t xml:space="preserve"> </w:t>
      </w:r>
      <w:r w:rsidR="00D05070">
        <w:rPr>
          <w:rFonts w:cs="Calibri"/>
        </w:rPr>
        <w:t>Π</w:t>
      </w:r>
      <w:r w:rsidRPr="0026013B">
        <w:rPr>
          <w:rFonts w:cs="Calibri"/>
        </w:rPr>
        <w:t xml:space="preserve">λατφόρμας </w:t>
      </w:r>
      <w:r w:rsidR="00D05070">
        <w:rPr>
          <w:rFonts w:cs="Calibri"/>
        </w:rPr>
        <w:t>Εξυγίανσης</w:t>
      </w:r>
      <w:r w:rsidR="00AD2800">
        <w:rPr>
          <w:rFonts w:cs="Calibri"/>
        </w:rPr>
        <w:t>,</w:t>
      </w:r>
      <w:r w:rsidR="00D05070">
        <w:rPr>
          <w:rFonts w:cs="Calibri"/>
        </w:rPr>
        <w:t xml:space="preserve"> και με την ολοκλήρωση της ψηφοφορίας η πλατφόρμα παράγει βεβαίωση αποτελεσμάτων.</w:t>
      </w:r>
      <w:r w:rsidR="00071D7D">
        <w:rPr>
          <w:rFonts w:cs="Calibri"/>
        </w:rPr>
        <w:t xml:space="preserve"> Η διαδικασία θεωρείται επιτυχής, εφόσον υπερψηφίσει η πλειοψηφία των πιστωτών.</w:t>
      </w:r>
    </w:p>
    <w:p w:rsidR="00D05070" w:rsidRPr="00483110" w:rsidRDefault="00D05070" w:rsidP="00C8351E">
      <w:pPr>
        <w:spacing w:after="0" w:line="240" w:lineRule="auto"/>
        <w:jc w:val="both"/>
        <w:rPr>
          <w:rFonts w:cs="Calibri"/>
        </w:rPr>
      </w:pPr>
      <w:r w:rsidRPr="005D1399">
        <w:rPr>
          <w:rFonts w:cs="Calibri"/>
        </w:rPr>
        <w:lastRenderedPageBreak/>
        <w:t>Η Ηλεκτρονική Πλατφόρμα Εξυγίανσης</w:t>
      </w:r>
      <w:r>
        <w:rPr>
          <w:rFonts w:cs="Calibri"/>
        </w:rPr>
        <w:t xml:space="preserve"> θα είναι προσβάσιμη από </w:t>
      </w:r>
      <w:r w:rsidR="00AD2800">
        <w:rPr>
          <w:rFonts w:cs="Calibri"/>
        </w:rPr>
        <w:t xml:space="preserve">τις </w:t>
      </w:r>
      <w:r>
        <w:rPr>
          <w:rFonts w:cs="Calibri"/>
        </w:rPr>
        <w:t>1</w:t>
      </w:r>
      <w:r w:rsidR="007C63E1">
        <w:rPr>
          <w:rFonts w:cs="Calibri"/>
        </w:rPr>
        <w:t>5</w:t>
      </w:r>
      <w:r>
        <w:rPr>
          <w:rFonts w:cs="Calibri"/>
        </w:rPr>
        <w:t>.</w:t>
      </w:r>
      <w:r w:rsidR="00802405">
        <w:rPr>
          <w:rFonts w:cs="Calibri"/>
        </w:rPr>
        <w:t>4</w:t>
      </w:r>
      <w:r>
        <w:rPr>
          <w:rFonts w:cs="Calibri"/>
        </w:rPr>
        <w:t>.2021</w:t>
      </w:r>
      <w:r w:rsidR="00AD2800">
        <w:rPr>
          <w:rFonts w:cs="Calibri"/>
        </w:rPr>
        <w:t>,</w:t>
      </w:r>
      <w:r>
        <w:rPr>
          <w:rFonts w:cs="Calibri"/>
        </w:rPr>
        <w:t xml:space="preserve"> </w:t>
      </w:r>
      <w:r w:rsidRPr="005D1399">
        <w:rPr>
          <w:rFonts w:cs="Calibri"/>
        </w:rPr>
        <w:t xml:space="preserve">μέσω της </w:t>
      </w:r>
      <w:r w:rsidR="00AD2800">
        <w:rPr>
          <w:rFonts w:cs="Calibri"/>
        </w:rPr>
        <w:t xml:space="preserve">ιστοσελίδας της </w:t>
      </w:r>
      <w:r>
        <w:rPr>
          <w:rFonts w:cs="Calibri"/>
        </w:rPr>
        <w:t>Ειδικής Γραμματείας Διαχείρισης Ιδιωτικού Χρέους</w:t>
      </w:r>
      <w:r w:rsidRPr="008A3C7F">
        <w:rPr>
          <w:rFonts w:cs="Calibri"/>
        </w:rPr>
        <w:t xml:space="preserve"> </w:t>
      </w:r>
      <w:r w:rsidR="00AD2800">
        <w:rPr>
          <w:rFonts w:cs="Calibri"/>
        </w:rPr>
        <w:t>(</w:t>
      </w:r>
      <w:hyperlink r:id="rId11" w:history="1">
        <w:r w:rsidRPr="00EF34ED">
          <w:rPr>
            <w:rStyle w:val="Hyperlink"/>
            <w:rFonts w:cs="Calibri"/>
            <w:lang w:val="en-US"/>
          </w:rPr>
          <w:t>www</w:t>
        </w:r>
        <w:r w:rsidRPr="00EF34ED">
          <w:rPr>
            <w:rStyle w:val="Hyperlink"/>
            <w:rFonts w:cs="Calibri"/>
          </w:rPr>
          <w:t>.</w:t>
        </w:r>
        <w:r w:rsidRPr="00EF34ED">
          <w:rPr>
            <w:rStyle w:val="Hyperlink"/>
            <w:rFonts w:cs="Calibri"/>
            <w:lang w:val="en-US"/>
          </w:rPr>
          <w:t>keyd</w:t>
        </w:r>
        <w:r w:rsidRPr="00EF34ED">
          <w:rPr>
            <w:rStyle w:val="Hyperlink"/>
            <w:rFonts w:cs="Calibri"/>
          </w:rPr>
          <w:t>.</w:t>
        </w:r>
        <w:r w:rsidRPr="00EF34ED">
          <w:rPr>
            <w:rStyle w:val="Hyperlink"/>
            <w:rFonts w:cs="Calibri"/>
            <w:lang w:val="en-US"/>
          </w:rPr>
          <w:t>gov</w:t>
        </w:r>
        <w:r w:rsidRPr="00EF34ED">
          <w:rPr>
            <w:rStyle w:val="Hyperlink"/>
            <w:rFonts w:cs="Calibri"/>
          </w:rPr>
          <w:t>.</w:t>
        </w:r>
        <w:r w:rsidRPr="00EF34ED">
          <w:rPr>
            <w:rStyle w:val="Hyperlink"/>
            <w:rFonts w:cs="Calibri"/>
            <w:lang w:val="en-US"/>
          </w:rPr>
          <w:t>gr</w:t>
        </w:r>
      </w:hyperlink>
      <w:r w:rsidR="00AD2800">
        <w:t>)</w:t>
      </w:r>
      <w:r w:rsidRPr="008A3C7F">
        <w:rPr>
          <w:rFonts w:cs="Calibri"/>
        </w:rPr>
        <w:t xml:space="preserve"> </w:t>
      </w:r>
      <w:r>
        <w:rPr>
          <w:rFonts w:cs="Calibri"/>
        </w:rPr>
        <w:t xml:space="preserve">και της </w:t>
      </w:r>
      <w:r w:rsidRPr="005D1399">
        <w:rPr>
          <w:rFonts w:cs="Calibri"/>
        </w:rPr>
        <w:t xml:space="preserve">ενιαίας πύλης του Δημοσίου </w:t>
      </w:r>
      <w:r w:rsidR="00AD2800">
        <w:rPr>
          <w:rFonts w:cs="Calibri"/>
        </w:rPr>
        <w:t>(</w:t>
      </w:r>
      <w:hyperlink r:id="rId12" w:history="1">
        <w:r w:rsidRPr="005D1399">
          <w:rPr>
            <w:rStyle w:val="Hyperlink"/>
            <w:rFonts w:cs="Calibri"/>
            <w:lang w:val="en-US"/>
          </w:rPr>
          <w:t>www</w:t>
        </w:r>
        <w:r w:rsidRPr="005D1399">
          <w:rPr>
            <w:rStyle w:val="Hyperlink"/>
            <w:rFonts w:cs="Calibri"/>
          </w:rPr>
          <w:t>.</w:t>
        </w:r>
        <w:r w:rsidRPr="005D1399">
          <w:rPr>
            <w:rStyle w:val="Hyperlink"/>
            <w:rFonts w:cs="Calibri"/>
            <w:lang w:val="en-US"/>
          </w:rPr>
          <w:t>gov</w:t>
        </w:r>
        <w:r w:rsidRPr="005D1399">
          <w:rPr>
            <w:rStyle w:val="Hyperlink"/>
            <w:rFonts w:cs="Calibri"/>
          </w:rPr>
          <w:t>.</w:t>
        </w:r>
        <w:r w:rsidRPr="005D1399">
          <w:rPr>
            <w:rStyle w:val="Hyperlink"/>
            <w:rFonts w:cs="Calibri"/>
            <w:lang w:val="en-US"/>
          </w:rPr>
          <w:t>gr</w:t>
        </w:r>
      </w:hyperlink>
      <w:r w:rsidR="00AD2800">
        <w:t>)</w:t>
      </w:r>
      <w:r>
        <w:rPr>
          <w:rFonts w:cs="Calibri"/>
        </w:rPr>
        <w:t>. Μέχρι τότε</w:t>
      </w:r>
      <w:r w:rsidR="00AD2800">
        <w:rPr>
          <w:rFonts w:cs="Calibri"/>
        </w:rPr>
        <w:t>,</w:t>
      </w:r>
      <w:r>
        <w:rPr>
          <w:rFonts w:cs="Calibri"/>
        </w:rPr>
        <w:t xml:space="preserve"> οι πιστωτές δύνανται να προβαίνουν σε υπογραφή της συμφωνίας</w:t>
      </w:r>
      <w:r w:rsidR="00AD2800">
        <w:rPr>
          <w:rFonts w:cs="Calibri"/>
        </w:rPr>
        <w:t>,</w:t>
      </w:r>
      <w:r>
        <w:rPr>
          <w:rFonts w:cs="Calibri"/>
        </w:rPr>
        <w:t xml:space="preserve"> έτσι ώστε να εκδηλώνουν τη θετική τους ψήφο.</w:t>
      </w:r>
    </w:p>
    <w:p w:rsidR="005368FE" w:rsidRDefault="005368FE" w:rsidP="00C8351E">
      <w:pPr>
        <w:spacing w:after="0" w:line="240" w:lineRule="auto"/>
        <w:jc w:val="both"/>
        <w:rPr>
          <w:rFonts w:cs="Calibri"/>
        </w:rPr>
      </w:pPr>
    </w:p>
    <w:p w:rsidR="00B20F90" w:rsidRDefault="005368FE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</w:t>
      </w:r>
      <w:r w:rsidRPr="005368FE">
        <w:rPr>
          <w:rFonts w:cs="Calibri"/>
          <w:b/>
          <w:vertAlign w:val="superscript"/>
        </w:rPr>
        <w:t>ο</w:t>
      </w:r>
      <w:r w:rsidRPr="005368FE">
        <w:rPr>
          <w:rFonts w:cs="Calibri"/>
          <w:b/>
        </w:rPr>
        <w:t xml:space="preserve"> Βήμα.</w:t>
      </w:r>
      <w:r w:rsidR="00A5134E">
        <w:rPr>
          <w:rFonts w:cs="Calibri"/>
        </w:rPr>
        <w:t xml:space="preserve"> </w:t>
      </w:r>
      <w:r w:rsidR="00B20F90">
        <w:rPr>
          <w:rFonts w:cs="Calibri"/>
        </w:rPr>
        <w:t>Επικύρωση Συμφωνία</w:t>
      </w:r>
      <w:r w:rsidR="00C8351E">
        <w:rPr>
          <w:rFonts w:cs="Calibri"/>
        </w:rPr>
        <w:t>ς Εξυγίανσης από το Δικαστήριο.</w:t>
      </w:r>
    </w:p>
    <w:p w:rsidR="00A41045" w:rsidRDefault="003615F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Στην περίπτωση υπερψήφισης της</w:t>
      </w:r>
      <w:r w:rsidR="00C72CED">
        <w:rPr>
          <w:rFonts w:cs="Calibri"/>
        </w:rPr>
        <w:t xml:space="preserve"> </w:t>
      </w:r>
      <w:r>
        <w:rPr>
          <w:rFonts w:cs="Calibri"/>
        </w:rPr>
        <w:t>Συμφωνίας Εξυγίανσης</w:t>
      </w:r>
      <w:r w:rsidR="00771C5B">
        <w:rPr>
          <w:rFonts w:cs="Calibri"/>
        </w:rPr>
        <w:t xml:space="preserve"> από την πλειοψηφία των πιστωτών</w:t>
      </w:r>
      <w:r>
        <w:rPr>
          <w:rFonts w:cs="Calibri"/>
        </w:rPr>
        <w:t>, ο</w:t>
      </w:r>
      <w:r w:rsidR="008A45A4">
        <w:rPr>
          <w:rFonts w:cs="Calibri"/>
        </w:rPr>
        <w:t xml:space="preserve"> οφειλέτ</w:t>
      </w:r>
      <w:r w:rsidR="00DD5212">
        <w:rPr>
          <w:rFonts w:cs="Calibri"/>
        </w:rPr>
        <w:t>η</w:t>
      </w:r>
      <w:r w:rsidR="00B20F90">
        <w:rPr>
          <w:rFonts w:cs="Calibri"/>
        </w:rPr>
        <w:t xml:space="preserve">ς ή οι πιστωτές </w:t>
      </w:r>
      <w:r w:rsidR="00977351">
        <w:rPr>
          <w:rFonts w:cs="Calibri"/>
        </w:rPr>
        <w:t>υποβάλλ</w:t>
      </w:r>
      <w:r w:rsidR="00B20F90">
        <w:rPr>
          <w:rFonts w:cs="Calibri"/>
        </w:rPr>
        <w:t>ουν</w:t>
      </w:r>
      <w:r w:rsidR="00DD5212">
        <w:rPr>
          <w:rFonts w:cs="Calibri"/>
        </w:rPr>
        <w:t xml:space="preserve"> </w:t>
      </w:r>
      <w:r w:rsidR="00977351">
        <w:rPr>
          <w:rFonts w:cs="Calibri"/>
        </w:rPr>
        <w:t>αίτηση στ</w:t>
      </w:r>
      <w:r>
        <w:rPr>
          <w:rFonts w:cs="Calibri"/>
        </w:rPr>
        <w:t>ο δικαστήριο προς επικύρωσ</w:t>
      </w:r>
      <w:r w:rsidR="00020CFD">
        <w:rPr>
          <w:rFonts w:cs="Calibri"/>
        </w:rPr>
        <w:t>ή</w:t>
      </w:r>
      <w:r>
        <w:rPr>
          <w:rFonts w:cs="Calibri"/>
        </w:rPr>
        <w:t xml:space="preserve"> της</w:t>
      </w:r>
      <w:r w:rsidR="00B20F90">
        <w:rPr>
          <w:rFonts w:cs="Calibri"/>
        </w:rPr>
        <w:t xml:space="preserve">. </w:t>
      </w:r>
      <w:r w:rsidR="00536466">
        <w:rPr>
          <w:rFonts w:cs="Calibri"/>
        </w:rPr>
        <w:t>Επισημαίνεται ότι μ</w:t>
      </w:r>
      <w:r w:rsidR="00536466" w:rsidRPr="00536466">
        <w:rPr>
          <w:rFonts w:cs="Calibri"/>
        </w:rPr>
        <w:t xml:space="preserve">ε την υποβολή της αίτησης στο δικαστήριο παρέχεται </w:t>
      </w:r>
      <w:r w:rsidR="0041464F">
        <w:rPr>
          <w:rFonts w:cs="Calibri"/>
        </w:rPr>
        <w:t xml:space="preserve">αυτοδικαίως </w:t>
      </w:r>
      <w:r w:rsidR="00536466" w:rsidRPr="00536466">
        <w:rPr>
          <w:rFonts w:cs="Calibri"/>
        </w:rPr>
        <w:t>αναστολή κατασχέσεων και πλειστηρ</w:t>
      </w:r>
      <w:r w:rsidR="00B20F90">
        <w:rPr>
          <w:rFonts w:cs="Calibri"/>
        </w:rPr>
        <w:t>ιασμών από όλους τους πιστωτές.</w:t>
      </w:r>
      <w:r w:rsidR="00972E69">
        <w:rPr>
          <w:rFonts w:cs="Calibri"/>
        </w:rPr>
        <w:t xml:space="preserve"> Η δικαστική επικύρωση της συμφωνίας την καθιστά </w:t>
      </w:r>
      <w:r w:rsidR="007B7FF1">
        <w:rPr>
          <w:rFonts w:cs="Calibri"/>
        </w:rPr>
        <w:t xml:space="preserve">δεσμευτική </w:t>
      </w:r>
      <w:r w:rsidR="00972E69">
        <w:rPr>
          <w:rFonts w:cs="Calibri"/>
        </w:rPr>
        <w:t>προς όλους τους πιστωτές, ακόμη και αυτούς που την καταψήφισαν.</w:t>
      </w:r>
    </w:p>
    <w:p w:rsidR="0007668E" w:rsidRPr="00C8351E" w:rsidRDefault="0007668E" w:rsidP="00C8351E">
      <w:pPr>
        <w:spacing w:after="0" w:line="240" w:lineRule="auto"/>
        <w:jc w:val="both"/>
        <w:rPr>
          <w:rFonts w:cs="Calibri"/>
        </w:rPr>
      </w:pPr>
    </w:p>
    <w:p w:rsidR="003615FC" w:rsidRDefault="003615FC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Σημειώνεται</w:t>
      </w:r>
      <w:r w:rsidR="00B20F90">
        <w:rPr>
          <w:rFonts w:cs="Calibri"/>
        </w:rPr>
        <w:t xml:space="preserve">, ότι αν </w:t>
      </w:r>
      <w:r w:rsidR="0007668E">
        <w:rPr>
          <w:rFonts w:cs="Calibri"/>
        </w:rPr>
        <w:t xml:space="preserve">μια επιχείρηση αντιμετωπίζει </w:t>
      </w:r>
      <w:r w:rsidR="00B20F90">
        <w:rPr>
          <w:rFonts w:cs="Calibri"/>
        </w:rPr>
        <w:t>μη αναστρέψιμα</w:t>
      </w:r>
      <w:r w:rsidR="0007668E">
        <w:rPr>
          <w:rFonts w:cs="Calibri"/>
        </w:rPr>
        <w:t xml:space="preserve">  προβλήματα βιωσιμότητας, </w:t>
      </w:r>
      <w:r w:rsidR="00B20F90">
        <w:rPr>
          <w:rFonts w:cs="Calibri"/>
        </w:rPr>
        <w:t>και δεν μπορεί να ενταχθεί στις διαδικασίες της εξυγίανσης</w:t>
      </w:r>
      <w:r w:rsidR="0007668E">
        <w:rPr>
          <w:rFonts w:cs="Calibri"/>
        </w:rPr>
        <w:t>, τότε από την 1</w:t>
      </w:r>
      <w:r w:rsidR="0007668E">
        <w:rPr>
          <w:rFonts w:cs="Calibri"/>
          <w:vertAlign w:val="superscript"/>
        </w:rPr>
        <w:t xml:space="preserve">η </w:t>
      </w:r>
      <w:r w:rsidR="0007668E">
        <w:rPr>
          <w:rFonts w:cs="Calibri"/>
        </w:rPr>
        <w:t>Μαρτίου</w:t>
      </w:r>
      <w:r>
        <w:rPr>
          <w:rFonts w:cs="Calibri"/>
        </w:rPr>
        <w:t xml:space="preserve"> 2021</w:t>
      </w:r>
      <w:r w:rsidR="0007668E">
        <w:rPr>
          <w:rFonts w:cs="Calibri"/>
        </w:rPr>
        <w:t xml:space="preserve">, έχει </w:t>
      </w:r>
      <w:r w:rsidR="007B7FF1">
        <w:rPr>
          <w:rFonts w:cs="Calibri"/>
        </w:rPr>
        <w:t xml:space="preserve">τεθεί σε ισχύ και </w:t>
      </w:r>
      <w:r w:rsidR="0007668E">
        <w:rPr>
          <w:rFonts w:cs="Calibri"/>
        </w:rPr>
        <w:t>η δυνατότητα να ακολουθήσει τη διαδικασία της 2</w:t>
      </w:r>
      <w:r w:rsidR="0007668E" w:rsidRPr="00FE59CB">
        <w:rPr>
          <w:rFonts w:cs="Calibri"/>
          <w:vertAlign w:val="superscript"/>
        </w:rPr>
        <w:t>ης</w:t>
      </w:r>
      <w:r w:rsidR="0007668E">
        <w:rPr>
          <w:rFonts w:cs="Calibri"/>
        </w:rPr>
        <w:t xml:space="preserve"> ευκαιρίας, μέσω της οποίας παρέχεται η πλήρης διαγραφή όλων των οφειλών, με ταυτόχρονη ρευστοποίηση της περιουσίας</w:t>
      </w:r>
      <w:r w:rsidR="00D04705">
        <w:rPr>
          <w:rFonts w:cs="Calibri"/>
        </w:rPr>
        <w:t xml:space="preserve"> της</w:t>
      </w:r>
      <w:r w:rsidR="00C8351E">
        <w:rPr>
          <w:rFonts w:cs="Calibri"/>
        </w:rPr>
        <w:t>.</w:t>
      </w:r>
    </w:p>
    <w:p w:rsidR="0007668E" w:rsidRPr="00995CE2" w:rsidRDefault="00D04705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Θα π</w:t>
      </w:r>
      <w:r w:rsidR="0007668E">
        <w:rPr>
          <w:rFonts w:cs="Calibri"/>
        </w:rPr>
        <w:t>ρέπει να τονισ</w:t>
      </w:r>
      <w:r w:rsidR="00AD2800">
        <w:rPr>
          <w:rFonts w:cs="Calibri"/>
        </w:rPr>
        <w:t>τ</w:t>
      </w:r>
      <w:r w:rsidR="0007668E">
        <w:rPr>
          <w:rFonts w:cs="Calibri"/>
        </w:rPr>
        <w:t>εί ότι ο</w:t>
      </w:r>
      <w:r>
        <w:rPr>
          <w:rFonts w:cs="Calibri"/>
        </w:rPr>
        <w:t>ι Δ</w:t>
      </w:r>
      <w:r w:rsidR="0007668E">
        <w:rPr>
          <w:rFonts w:cs="Calibri"/>
        </w:rPr>
        <w:t xml:space="preserve">ιοικούντες των ανωτέρω επιχειρήσεων λαμβάνουν απαλλαγή οφειλών, εφόσον δεν έδρασαν με δόλο. Η διαδικασία για την απαλλαγή οφειλών υλοποιείται μέσω αίτησης στο δικαστήριο, εφόσον </w:t>
      </w:r>
      <w:r w:rsidR="005C2AFE">
        <w:rPr>
          <w:rFonts w:cs="Calibri"/>
        </w:rPr>
        <w:t xml:space="preserve">η </w:t>
      </w:r>
      <w:r w:rsidR="003615FC">
        <w:rPr>
          <w:rFonts w:cs="Calibri"/>
        </w:rPr>
        <w:t>επιχείρηση πληροί τ</w:t>
      </w:r>
      <w:r w:rsidR="0007668E" w:rsidRPr="00995CE2">
        <w:rPr>
          <w:rFonts w:cs="Calibri"/>
        </w:rPr>
        <w:t>α ακόλουθα κριτήρια επιλεξιμότητας:</w:t>
      </w:r>
    </w:p>
    <w:p w:rsidR="0007668E" w:rsidRPr="000B3465" w:rsidRDefault="0007668E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 w:rsidRPr="00995CE2">
        <w:rPr>
          <w:rFonts w:cs="Calibri"/>
        </w:rPr>
        <w:t>κύκλο</w:t>
      </w:r>
      <w:r w:rsidR="00D04705">
        <w:rPr>
          <w:rFonts w:cs="Calibri"/>
        </w:rPr>
        <w:t>ς</w:t>
      </w:r>
      <w:r w:rsidRPr="00995CE2">
        <w:rPr>
          <w:rFonts w:cs="Calibri"/>
        </w:rPr>
        <w:t xml:space="preserve"> εργασιών άνω των 700.000 ευρώ</w:t>
      </w:r>
      <w:r w:rsidRPr="00B1618A">
        <w:rPr>
          <w:rFonts w:cs="Calibri"/>
        </w:rPr>
        <w:t>,</w:t>
      </w:r>
    </w:p>
    <w:p w:rsidR="0007668E" w:rsidRPr="00B1618A" w:rsidRDefault="0007668E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 w:rsidRPr="00995CE2">
        <w:rPr>
          <w:rFonts w:cs="Calibri"/>
        </w:rPr>
        <w:t>περιουσία άνω των 350.000 ευρώ</w:t>
      </w:r>
      <w:r>
        <w:rPr>
          <w:rFonts w:cs="Calibri"/>
          <w:lang w:val="en-US"/>
        </w:rPr>
        <w:t>,</w:t>
      </w:r>
    </w:p>
    <w:p w:rsidR="0007668E" w:rsidRPr="00995CE2" w:rsidRDefault="00AD2800" w:rsidP="00C8351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αριθμός εργαζομένων πλέον των </w:t>
      </w:r>
      <w:r w:rsidR="0007668E" w:rsidRPr="00995CE2">
        <w:rPr>
          <w:rFonts w:cs="Calibri"/>
          <w:lang w:val="en-US"/>
        </w:rPr>
        <w:t>10</w:t>
      </w:r>
      <w:r w:rsidR="00C8351E">
        <w:rPr>
          <w:rFonts w:cs="Calibri"/>
        </w:rPr>
        <w:t>.</w:t>
      </w:r>
    </w:p>
    <w:p w:rsidR="00ED38AB" w:rsidRDefault="00ED38AB" w:rsidP="00C8351E">
      <w:pPr>
        <w:spacing w:after="0" w:line="240" w:lineRule="auto"/>
        <w:jc w:val="both"/>
        <w:rPr>
          <w:rFonts w:cs="Calibri"/>
        </w:rPr>
      </w:pPr>
    </w:p>
    <w:p w:rsidR="00ED38AB" w:rsidRPr="00ED38AB" w:rsidRDefault="00903632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Αναφορικά με </w:t>
      </w:r>
      <w:r w:rsidR="005D1399">
        <w:rPr>
          <w:rFonts w:cs="Calibri"/>
        </w:rPr>
        <w:t>τη διαδικασία της εξυγίανσης και</w:t>
      </w:r>
      <w:r w:rsidR="004D7914">
        <w:rPr>
          <w:rFonts w:cs="Calibri"/>
        </w:rPr>
        <w:t xml:space="preserve"> </w:t>
      </w:r>
      <w:r w:rsidR="001A0E47" w:rsidRPr="006C69AD">
        <w:rPr>
          <w:rFonts w:cs="Calibri"/>
        </w:rPr>
        <w:t>αναδιάρθρωσης οφειλών</w:t>
      </w:r>
      <w:r>
        <w:rPr>
          <w:rFonts w:cs="Calibri"/>
        </w:rPr>
        <w:t xml:space="preserve">, </w:t>
      </w:r>
      <w:r w:rsidR="003615FC">
        <w:rPr>
          <w:rFonts w:cs="Calibri"/>
        </w:rPr>
        <w:t>υπογράφ</w:t>
      </w:r>
      <w:r w:rsidR="0023731B">
        <w:rPr>
          <w:rFonts w:cs="Calibri"/>
        </w:rPr>
        <w:t>ηκαν</w:t>
      </w:r>
      <w:r w:rsidR="006C69AD" w:rsidRPr="006C69AD">
        <w:rPr>
          <w:rFonts w:cs="Calibri"/>
        </w:rPr>
        <w:t xml:space="preserve"> </w:t>
      </w:r>
      <w:r w:rsidR="00AD2800">
        <w:rPr>
          <w:rFonts w:cs="Calibri"/>
        </w:rPr>
        <w:t>χθες</w:t>
      </w:r>
      <w:r w:rsidR="000E26B4">
        <w:rPr>
          <w:rFonts w:cs="Calibri"/>
        </w:rPr>
        <w:t xml:space="preserve"> </w:t>
      </w:r>
      <w:r w:rsidR="00ED38AB">
        <w:rPr>
          <w:rFonts w:cs="Calibri"/>
        </w:rPr>
        <w:t xml:space="preserve">οι </w:t>
      </w:r>
      <w:r w:rsidR="00AD2800">
        <w:rPr>
          <w:rFonts w:cs="Calibri"/>
        </w:rPr>
        <w:t>τρεις</w:t>
      </w:r>
      <w:r w:rsidR="00ED38AB">
        <w:rPr>
          <w:rFonts w:cs="Calibri"/>
        </w:rPr>
        <w:t xml:space="preserve"> σχετικές Υ</w:t>
      </w:r>
      <w:r w:rsidR="000E26B4">
        <w:rPr>
          <w:rFonts w:cs="Calibri"/>
        </w:rPr>
        <w:t>πουργικές Αποφάσεις</w:t>
      </w:r>
      <w:r w:rsidR="00ED38AB">
        <w:rPr>
          <w:rFonts w:cs="Calibri"/>
        </w:rPr>
        <w:t>. Συγκεκριμένα</w:t>
      </w:r>
      <w:r w:rsidR="00ED38AB" w:rsidRPr="00ED38AB">
        <w:rPr>
          <w:rFonts w:cs="Calibri"/>
        </w:rPr>
        <w:t>:</w:t>
      </w:r>
    </w:p>
    <w:p w:rsidR="00ED38AB" w:rsidRPr="00ED38AB" w:rsidRDefault="00ED38AB" w:rsidP="00C8351E">
      <w:pPr>
        <w:spacing w:after="0" w:line="240" w:lineRule="auto"/>
        <w:jc w:val="both"/>
        <w:rPr>
          <w:rFonts w:cs="Calibri"/>
        </w:rPr>
      </w:pPr>
      <w:r w:rsidRPr="00ED38AB">
        <w:rPr>
          <w:rFonts w:cs="Calibri"/>
        </w:rPr>
        <w:t>1.</w:t>
      </w:r>
      <w:r>
        <w:rPr>
          <w:rFonts w:cs="Calibri"/>
        </w:rPr>
        <w:t xml:space="preserve"> </w:t>
      </w:r>
      <w:r w:rsidR="004F2C08" w:rsidRPr="00ED38AB">
        <w:rPr>
          <w:rFonts w:cs="Calibri"/>
        </w:rPr>
        <w:t xml:space="preserve">Η </w:t>
      </w:r>
      <w:r w:rsidRPr="00ED38AB">
        <w:rPr>
          <w:rFonts w:cs="Calibri"/>
        </w:rPr>
        <w:t>Υπουργική Απόφαση</w:t>
      </w:r>
      <w:r w:rsidR="00D04705" w:rsidRPr="00ED38AB">
        <w:rPr>
          <w:rFonts w:cs="Calibri"/>
        </w:rPr>
        <w:t xml:space="preserve"> </w:t>
      </w:r>
      <w:r w:rsidR="00D04705" w:rsidRPr="00ED38AB">
        <w:rPr>
          <w:rFonts w:cs="Calibri"/>
          <w:i/>
        </w:rPr>
        <w:t>«Καθορισμός του ελάχιστου περιεχομένου της προβλεπόμενης στο άρθρο 48 του ν. 4738/2020 (Α΄</w:t>
      </w:r>
      <w:r w:rsidR="00AD2800">
        <w:rPr>
          <w:rFonts w:cs="Calibri"/>
          <w:i/>
        </w:rPr>
        <w:t xml:space="preserve"> </w:t>
      </w:r>
      <w:r w:rsidR="00D04705" w:rsidRPr="00ED38AB">
        <w:rPr>
          <w:rFonts w:cs="Calibri"/>
          <w:i/>
        </w:rPr>
        <w:t>207) έκθεσης του εμπειρογνώμονα, καθώς και των διαδικασιών που πρέπει να τηρήσει για την κατάρτιση της έκθεσής του»</w:t>
      </w:r>
      <w:r w:rsidRPr="00ED38AB">
        <w:rPr>
          <w:rFonts w:cs="Calibri"/>
        </w:rPr>
        <w:t>.</w:t>
      </w:r>
    </w:p>
    <w:p w:rsidR="003615FC" w:rsidRPr="006F0FDF" w:rsidRDefault="003615FC" w:rsidP="00C8351E">
      <w:pPr>
        <w:spacing w:after="0" w:line="240" w:lineRule="auto"/>
        <w:jc w:val="both"/>
        <w:rPr>
          <w:rFonts w:cs="Calibri"/>
        </w:rPr>
      </w:pPr>
      <w:r w:rsidRPr="00A71B15">
        <w:rPr>
          <w:rFonts w:cs="Calibri"/>
        </w:rPr>
        <w:t xml:space="preserve">Πρόκειται για μία </w:t>
      </w:r>
      <w:r w:rsidRPr="00A539EE">
        <w:rPr>
          <w:rFonts w:cs="Calibri"/>
        </w:rPr>
        <w:t>σημαντικ</w:t>
      </w:r>
      <w:r w:rsidRPr="00A71B15">
        <w:rPr>
          <w:rFonts w:cs="Calibri"/>
        </w:rPr>
        <w:t xml:space="preserve">ή πρωτοβουλία του Υπουργείου Οικονομικών, </w:t>
      </w:r>
      <w:r w:rsidRPr="00EA6A5B">
        <w:rPr>
          <w:rFonts w:cs="Calibri"/>
        </w:rPr>
        <w:t>καθώς</w:t>
      </w:r>
      <w:r>
        <w:rPr>
          <w:rFonts w:cs="Calibri"/>
        </w:rPr>
        <w:t xml:space="preserve"> για πρώτη φορά καθορίζονται</w:t>
      </w:r>
      <w:r w:rsidR="00117911">
        <w:rPr>
          <w:rFonts w:cs="Calibri"/>
        </w:rPr>
        <w:t xml:space="preserve"> </w:t>
      </w:r>
      <w:r>
        <w:rPr>
          <w:rFonts w:cs="Calibri"/>
        </w:rPr>
        <w:t xml:space="preserve">νομοθετικά </w:t>
      </w:r>
      <w:r w:rsidR="00117911">
        <w:rPr>
          <w:rFonts w:cs="Calibri"/>
        </w:rPr>
        <w:t>οι τεχνικές προδιαγραφές που θα πρέπει να έχει μια τέτοια έκθεση.</w:t>
      </w:r>
    </w:p>
    <w:p w:rsidR="00ED38AB" w:rsidRDefault="00ED38AB" w:rsidP="00C8351E">
      <w:pPr>
        <w:spacing w:after="0" w:line="240" w:lineRule="auto"/>
        <w:jc w:val="both"/>
      </w:pPr>
    </w:p>
    <w:p w:rsidR="00ED38AB" w:rsidRDefault="005D1399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Η </w:t>
      </w:r>
      <w:r w:rsidR="00D04705">
        <w:rPr>
          <w:rFonts w:cs="Calibri"/>
        </w:rPr>
        <w:t>Υπουργική Απόφαση</w:t>
      </w:r>
      <w:r w:rsidR="00D04705" w:rsidRPr="00D04705">
        <w:rPr>
          <w:rFonts w:cs="Calibri"/>
        </w:rPr>
        <w:t xml:space="preserve"> </w:t>
      </w:r>
      <w:r w:rsidR="00D04705" w:rsidRPr="00ED38AB">
        <w:rPr>
          <w:rFonts w:cs="Calibri"/>
          <w:i/>
        </w:rPr>
        <w:t>«Καθορισμός διαδικασίας και ηλεκτρονικών προδιαγραφών της ηλεκτρονικής πλατφόρμας για τη διεξαγωγή της ηλεκτρονικής ψηφοφορίας μεταξύ των πιστωτών για την έγκριση σχεδίου συμφωνίας εξυγίανσης στο πλαίσιο του ν. 4738/2020 (Α΄</w:t>
      </w:r>
      <w:r w:rsidR="00AD2800">
        <w:rPr>
          <w:rFonts w:cs="Calibri"/>
          <w:i/>
        </w:rPr>
        <w:t xml:space="preserve"> </w:t>
      </w:r>
      <w:r w:rsidR="00D04705" w:rsidRPr="00ED38AB">
        <w:rPr>
          <w:rFonts w:cs="Calibri"/>
          <w:i/>
        </w:rPr>
        <w:t>207) «Ρύθμιση οφειλών και παροχή δεύτερης ευκαιρίας και άλλες διατάξεις»</w:t>
      </w:r>
      <w:r w:rsidR="00ED38AB">
        <w:rPr>
          <w:rFonts w:cs="Calibri"/>
        </w:rPr>
        <w:t>.</w:t>
      </w:r>
    </w:p>
    <w:p w:rsidR="00FB615C" w:rsidRDefault="00FB615C" w:rsidP="00C8351E">
      <w:pPr>
        <w:spacing w:after="0" w:line="240" w:lineRule="auto"/>
        <w:jc w:val="both"/>
        <w:rPr>
          <w:rFonts w:cs="Calibri"/>
        </w:rPr>
      </w:pPr>
      <w:r w:rsidRPr="00FB615C">
        <w:rPr>
          <w:rFonts w:cs="Calibri"/>
        </w:rPr>
        <w:t xml:space="preserve">Πρόκειται για μία σημαντική πρωτοβουλία του Υπουργείου Οικονομικών, καθώς για πρώτη φορά </w:t>
      </w:r>
      <w:r>
        <w:rPr>
          <w:rFonts w:cs="Calibri"/>
        </w:rPr>
        <w:t xml:space="preserve">ψηφιοποιούνται οι διαδικασίες </w:t>
      </w:r>
      <w:r w:rsidR="0097205A">
        <w:rPr>
          <w:rFonts w:cs="Calibri"/>
        </w:rPr>
        <w:t>ρύθμισης οφειλών των επιχειρήσεων, μέσω της εξυγίανσης</w:t>
      </w:r>
      <w:r w:rsidR="00C8351E">
        <w:rPr>
          <w:rFonts w:cs="Calibri"/>
        </w:rPr>
        <w:t>.</w:t>
      </w:r>
    </w:p>
    <w:p w:rsidR="00C531E9" w:rsidRDefault="00C531E9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Σημειώνεται ότι ο</w:t>
      </w:r>
      <w:r w:rsidRPr="00C531E9">
        <w:rPr>
          <w:rFonts w:cs="Calibri"/>
        </w:rPr>
        <w:t xml:space="preserve">ι </w:t>
      </w:r>
      <w:r>
        <w:rPr>
          <w:rFonts w:cs="Calibri"/>
        </w:rPr>
        <w:t xml:space="preserve">ηλεκτρονικές </w:t>
      </w:r>
      <w:r w:rsidRPr="00C531E9">
        <w:rPr>
          <w:rFonts w:cs="Calibri"/>
        </w:rPr>
        <w:t>πλατφόρμες για τη λειτουργία των διαδικασιών της εξυγίανσης επιχειρήσεων,  σχεδιάστηκαν από την Ειδική Γραμματεία Διαχείρισης Ιδιωτικού Χρέους του Υπουργείου Οικονομικών</w:t>
      </w:r>
      <w:r w:rsidR="00AD2800">
        <w:rPr>
          <w:rFonts w:cs="Calibri"/>
        </w:rPr>
        <w:t>,</w:t>
      </w:r>
      <w:r w:rsidRPr="00C531E9">
        <w:rPr>
          <w:rFonts w:cs="Calibri"/>
        </w:rPr>
        <w:t xml:space="preserve"> σε συνεργασία με τη Γενική Γραμματεία Ψηφιακής Διακυβέρνησης και Απλούστευσης Διαδικασιών και τη Γενική Γραμματεία Πληροφοριακών Συστημάτων Δημόσιας Διοίκησης του Υπουργείου Ψηφιακής Διακυβέρνησης</w:t>
      </w:r>
      <w:r>
        <w:rPr>
          <w:rFonts w:cs="Calibri"/>
        </w:rPr>
        <w:t>,</w:t>
      </w:r>
      <w:r w:rsidRPr="00C531E9">
        <w:rPr>
          <w:rFonts w:cs="Calibri"/>
        </w:rPr>
        <w:t xml:space="preserve"> από την οποία υποστηρίζονται διαρκώς και φιλοξενούνται στις υποδομές της. Ειδικότερα</w:t>
      </w:r>
      <w:r>
        <w:rPr>
          <w:rFonts w:cs="Calibri"/>
        </w:rPr>
        <w:t>,</w:t>
      </w:r>
      <w:r w:rsidRPr="00C531E9">
        <w:rPr>
          <w:rFonts w:cs="Calibri"/>
        </w:rPr>
        <w:t xml:space="preserve"> η </w:t>
      </w:r>
      <w:r>
        <w:rPr>
          <w:rFonts w:cs="Calibri"/>
        </w:rPr>
        <w:t>π</w:t>
      </w:r>
      <w:r w:rsidRPr="00C531E9">
        <w:rPr>
          <w:rFonts w:cs="Calibri"/>
        </w:rPr>
        <w:t>λατφόρμα του Μητρώου Εμπειρογνωμόνων Αναδιάρθρωσης Οφειλών είναι διασυνδεδεμένη με τις αντίστοιχες πλατφόρμες της Επιτροπής Λογιστικής Τυποποίησης και Ελέγχων (Ε.Λ.Τ.Ε.) και του Οικονομικού Επιμελητηρίου Ελλάδος (Ο.Ε.Ε), έτσι ώστε να γίνεται άμεσα η διασταύρωση των σ</w:t>
      </w:r>
      <w:r w:rsidR="00AD2800">
        <w:rPr>
          <w:rFonts w:cs="Calibri"/>
        </w:rPr>
        <w:t>τοιχείων και οι υποψήφιοι να μη</w:t>
      </w:r>
      <w:r w:rsidRPr="00C531E9">
        <w:rPr>
          <w:rFonts w:cs="Calibri"/>
        </w:rPr>
        <w:t xml:space="preserve"> χρειάζεται να προσκο</w:t>
      </w:r>
      <w:r w:rsidR="00C8351E">
        <w:rPr>
          <w:rFonts w:cs="Calibri"/>
        </w:rPr>
        <w:t>μίσουν πρόσθετα δικαιολογητικά.</w:t>
      </w:r>
    </w:p>
    <w:p w:rsidR="00B13991" w:rsidRPr="00C531E9" w:rsidRDefault="00B13991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Με όλες τις ανωτέρω ενέργειες, </w:t>
      </w:r>
      <w:r w:rsidRPr="00B13991">
        <w:rPr>
          <w:rFonts w:cs="Calibri"/>
        </w:rPr>
        <w:t>μειών</w:t>
      </w:r>
      <w:r>
        <w:rPr>
          <w:rFonts w:cs="Calibri"/>
        </w:rPr>
        <w:t>εται η</w:t>
      </w:r>
      <w:r w:rsidRPr="00B13991">
        <w:rPr>
          <w:rFonts w:cs="Calibri"/>
        </w:rPr>
        <w:t xml:space="preserve"> γραφειοκρατία</w:t>
      </w:r>
      <w:r>
        <w:rPr>
          <w:rFonts w:cs="Calibri"/>
        </w:rPr>
        <w:t xml:space="preserve"> και βελτιώνεται η διαφάνεια.</w:t>
      </w:r>
    </w:p>
    <w:p w:rsidR="00ED38AB" w:rsidRDefault="00ED38AB" w:rsidP="00C8351E">
      <w:pPr>
        <w:spacing w:after="0" w:line="240" w:lineRule="auto"/>
        <w:jc w:val="both"/>
        <w:rPr>
          <w:rFonts w:cs="Calibri"/>
        </w:rPr>
      </w:pPr>
    </w:p>
    <w:p w:rsidR="003615FC" w:rsidRPr="00AD1506" w:rsidRDefault="00D04705" w:rsidP="00C8351E">
      <w:pPr>
        <w:spacing w:after="0" w:line="240" w:lineRule="auto"/>
        <w:jc w:val="both"/>
        <w:rPr>
          <w:rFonts w:cs="Calibri"/>
          <w:strike/>
        </w:rPr>
      </w:pPr>
      <w:r>
        <w:rPr>
          <w:rFonts w:cs="Calibri"/>
        </w:rPr>
        <w:t>3. Η Υπουργική Απόφαση</w:t>
      </w:r>
      <w:r w:rsidRPr="00D04705">
        <w:rPr>
          <w:rFonts w:cs="Calibri"/>
        </w:rPr>
        <w:t xml:space="preserve"> </w:t>
      </w:r>
      <w:r w:rsidRPr="00ED38AB">
        <w:rPr>
          <w:rFonts w:cs="Calibri"/>
          <w:i/>
        </w:rPr>
        <w:t>«Κατάρτιση ολοκληρωμένου καταλόγου ελέγχου για τις αιτήσεις επικύρωσης συμφωνιών εξυγίανσης»</w:t>
      </w:r>
      <w:r w:rsidR="00AD2800" w:rsidRPr="00AD2800">
        <w:rPr>
          <w:rFonts w:cs="Calibri"/>
        </w:rPr>
        <w:t xml:space="preserve">, </w:t>
      </w:r>
      <w:r w:rsidR="00CA2A99" w:rsidRPr="00CA2A99">
        <w:rPr>
          <w:rFonts w:cs="Calibri"/>
          <w:iCs/>
        </w:rPr>
        <w:t xml:space="preserve">η οποία καθορίζει τον κατάλογο ελέγχου για  τις αιτήσεις συμφωνιών εξυγίανσης </w:t>
      </w:r>
      <w:r w:rsidR="00AD2800">
        <w:rPr>
          <w:rFonts w:cs="Calibri"/>
          <w:iCs/>
        </w:rPr>
        <w:t>που</w:t>
      </w:r>
      <w:r w:rsidR="00CA2A99" w:rsidRPr="00CA2A99">
        <w:rPr>
          <w:rFonts w:cs="Calibri"/>
          <w:iCs/>
        </w:rPr>
        <w:t xml:space="preserve"> κατατίθενται στο δικαστήριο προς επικύρωση. Εξειδικεύονται</w:t>
      </w:r>
      <w:r w:rsidR="00AD2800">
        <w:rPr>
          <w:rFonts w:cs="Calibri"/>
          <w:iCs/>
        </w:rPr>
        <w:t>,</w:t>
      </w:r>
      <w:r w:rsidR="00CA2A99" w:rsidRPr="00CA2A99">
        <w:rPr>
          <w:rFonts w:cs="Calibri"/>
          <w:iCs/>
        </w:rPr>
        <w:t xml:space="preserve"> δηλαδή</w:t>
      </w:r>
      <w:r w:rsidR="00AD2800">
        <w:rPr>
          <w:rFonts w:cs="Calibri"/>
          <w:iCs/>
        </w:rPr>
        <w:t>,</w:t>
      </w:r>
      <w:r w:rsidR="00CA2A99" w:rsidRPr="00CA2A99">
        <w:rPr>
          <w:rFonts w:cs="Calibri"/>
          <w:iCs/>
        </w:rPr>
        <w:t xml:space="preserve"> όλα τα συνοδευτικά έγγραφα της συμφωνίας εξυγίανσης</w:t>
      </w:r>
      <w:r w:rsidR="00AD1506">
        <w:rPr>
          <w:rFonts w:cs="Calibri"/>
          <w:iCs/>
        </w:rPr>
        <w:t>,</w:t>
      </w:r>
      <w:r w:rsidR="00CA2A99" w:rsidRPr="00CA2A99">
        <w:rPr>
          <w:iCs/>
        </w:rPr>
        <w:t xml:space="preserve"> </w:t>
      </w:r>
      <w:r w:rsidR="00CA2A99" w:rsidRPr="00CA2A99">
        <w:rPr>
          <w:rFonts w:cs="Calibri"/>
          <w:iCs/>
        </w:rPr>
        <w:t>προσαρμοσμέν</w:t>
      </w:r>
      <w:r w:rsidR="00AD1506">
        <w:rPr>
          <w:rFonts w:cs="Calibri"/>
          <w:iCs/>
        </w:rPr>
        <w:t>α</w:t>
      </w:r>
      <w:r w:rsidR="00CA2A99" w:rsidRPr="00CA2A99">
        <w:rPr>
          <w:rFonts w:cs="Calibri"/>
          <w:iCs/>
        </w:rPr>
        <w:t xml:space="preserve"> στις ανάγκες των πολύ μικρών, μικρών και μεσαίων επιχειρήσεων</w:t>
      </w:r>
      <w:r w:rsidRPr="003D7955">
        <w:rPr>
          <w:rFonts w:cs="Calibri"/>
          <w:iCs/>
        </w:rPr>
        <w:t>.</w:t>
      </w:r>
    </w:p>
    <w:p w:rsidR="00995CE2" w:rsidRPr="00CA76FF" w:rsidRDefault="00117911" w:rsidP="00C8351E">
      <w:pPr>
        <w:spacing w:after="0" w:line="240" w:lineRule="auto"/>
        <w:jc w:val="both"/>
        <w:rPr>
          <w:rFonts w:cs="Calibri"/>
          <w:strike/>
        </w:rPr>
      </w:pPr>
      <w:r>
        <w:rPr>
          <w:rFonts w:cs="Calibri"/>
        </w:rPr>
        <w:t xml:space="preserve">Τονίζεται </w:t>
      </w:r>
      <w:r w:rsidR="0007668E">
        <w:rPr>
          <w:rFonts w:cs="Calibri"/>
        </w:rPr>
        <w:t>ότι</w:t>
      </w:r>
      <w:r w:rsidR="00AD2800">
        <w:rPr>
          <w:rFonts w:cs="Calibri"/>
        </w:rPr>
        <w:t>,</w:t>
      </w:r>
      <w:r w:rsidR="0007668E">
        <w:rPr>
          <w:rFonts w:cs="Calibri"/>
        </w:rPr>
        <w:t xml:space="preserve"> ε</w:t>
      </w:r>
      <w:r w:rsidR="00995CE2">
        <w:rPr>
          <w:rFonts w:cs="Calibri"/>
        </w:rPr>
        <w:t xml:space="preserve">φόσον οι </w:t>
      </w:r>
      <w:r w:rsidR="00C62783">
        <w:rPr>
          <w:rFonts w:cs="Calibri"/>
        </w:rPr>
        <w:t xml:space="preserve">επιχειρήσεις </w:t>
      </w:r>
      <w:r w:rsidR="00995CE2">
        <w:rPr>
          <w:rFonts w:cs="Calibri"/>
        </w:rPr>
        <w:t>δεν ακολουθήσουν τη διαδικασία της εξυγίανσης</w:t>
      </w:r>
      <w:r w:rsidR="00C62783">
        <w:rPr>
          <w:rFonts w:cs="Calibri"/>
        </w:rPr>
        <w:t xml:space="preserve">, τότε δύνανται να ρυθμίσουν τα χρέη τους, μέσω του εξωδικαστικού μηχανισμού, ο οποίος θα ενεργοποιηθεί </w:t>
      </w:r>
      <w:r w:rsidR="00276279">
        <w:rPr>
          <w:rFonts w:cs="Calibri"/>
        </w:rPr>
        <w:t xml:space="preserve">την </w:t>
      </w:r>
      <w:r w:rsidR="00C62783">
        <w:rPr>
          <w:rFonts w:cs="Calibri"/>
        </w:rPr>
        <w:t>1</w:t>
      </w:r>
      <w:r w:rsidR="00276279" w:rsidRPr="00276279">
        <w:rPr>
          <w:rFonts w:cs="Calibri"/>
          <w:vertAlign w:val="superscript"/>
        </w:rPr>
        <w:t>η</w:t>
      </w:r>
      <w:r>
        <w:rPr>
          <w:rFonts w:cs="Calibri"/>
        </w:rPr>
        <w:t xml:space="preserve"> Ιουνίου του </w:t>
      </w:r>
      <w:r w:rsidR="00C8351E">
        <w:rPr>
          <w:rFonts w:cs="Calibri"/>
        </w:rPr>
        <w:t>2021.</w:t>
      </w:r>
    </w:p>
    <w:p w:rsidR="00855AF4" w:rsidRDefault="00167DC5" w:rsidP="00C8351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Η Κυβέρνηση</w:t>
      </w:r>
      <w:r w:rsidR="002A7F57" w:rsidRPr="002A7F57">
        <w:rPr>
          <w:rFonts w:cs="Calibri"/>
        </w:rPr>
        <w:t xml:space="preserve"> και το οικονομικό επιτελεί</w:t>
      </w:r>
      <w:r w:rsidR="002A7F57" w:rsidRPr="0073201A">
        <w:rPr>
          <w:rFonts w:cs="Calibri"/>
        </w:rPr>
        <w:t>ο</w:t>
      </w:r>
      <w:r>
        <w:rPr>
          <w:rFonts w:cs="Calibri"/>
        </w:rPr>
        <w:t>,</w:t>
      </w:r>
      <w:r w:rsidR="002A7F57">
        <w:rPr>
          <w:rFonts w:cs="Calibri"/>
        </w:rPr>
        <w:t xml:space="preserve"> </w:t>
      </w:r>
      <w:r w:rsidR="00EE3AA4">
        <w:rPr>
          <w:rFonts w:cs="Calibri"/>
        </w:rPr>
        <w:t>στηρίζει έμπρακτα την προσπάθεια των επιχειρήσεων να καταστούν βιώσιμες</w:t>
      </w:r>
      <w:r w:rsidR="00AD2800">
        <w:rPr>
          <w:rFonts w:cs="Calibri"/>
        </w:rPr>
        <w:t>,</w:t>
      </w:r>
      <w:r w:rsidR="00EE3AA4">
        <w:rPr>
          <w:rFonts w:cs="Calibri"/>
        </w:rPr>
        <w:t xml:space="preserve"> </w:t>
      </w:r>
      <w:r w:rsidR="00C72CED">
        <w:rPr>
          <w:rFonts w:cs="Calibri"/>
        </w:rPr>
        <w:t xml:space="preserve">ώστε να </w:t>
      </w:r>
      <w:r w:rsidR="00EE3AA4">
        <w:rPr>
          <w:rFonts w:cs="Calibri"/>
        </w:rPr>
        <w:t xml:space="preserve">συμβάλουν ενεργά στην οικονομική ανάπτυξη </w:t>
      </w:r>
      <w:r w:rsidR="00AA243B" w:rsidRPr="00735DCD">
        <w:rPr>
          <w:rFonts w:cs="Calibri"/>
        </w:rPr>
        <w:t>της χώρας.</w:t>
      </w:r>
    </w:p>
    <w:sectPr w:rsidR="00855AF4" w:rsidSect="003A0686">
      <w:footerReference w:type="default" r:id="rId13"/>
      <w:pgSz w:w="11906" w:h="16838"/>
      <w:pgMar w:top="1134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CF" w:rsidRDefault="000C5ACF" w:rsidP="0094113D">
      <w:pPr>
        <w:spacing w:after="0" w:line="240" w:lineRule="auto"/>
      </w:pPr>
      <w:r>
        <w:separator/>
      </w:r>
    </w:p>
  </w:endnote>
  <w:endnote w:type="continuationSeparator" w:id="0">
    <w:p w:rsidR="000C5ACF" w:rsidRDefault="000C5ACF" w:rsidP="0094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913313"/>
      <w:docPartObj>
        <w:docPartGallery w:val="Page Numbers (Bottom of Page)"/>
        <w:docPartUnique/>
      </w:docPartObj>
    </w:sdtPr>
    <w:sdtEndPr/>
    <w:sdtContent>
      <w:p w:rsidR="00B20F90" w:rsidRDefault="005F12D0">
        <w:pPr>
          <w:pStyle w:val="Footer"/>
          <w:jc w:val="center"/>
        </w:pPr>
        <w:r>
          <w:fldChar w:fldCharType="begin"/>
        </w:r>
        <w:r w:rsidR="008A7134">
          <w:instrText xml:space="preserve"> PAGE   \* MERGEFORMAT </w:instrText>
        </w:r>
        <w:r>
          <w:fldChar w:fldCharType="separate"/>
        </w:r>
        <w:r w:rsidR="00095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0F90" w:rsidRDefault="00B20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CF" w:rsidRDefault="000C5ACF" w:rsidP="0094113D">
      <w:pPr>
        <w:spacing w:after="0" w:line="240" w:lineRule="auto"/>
      </w:pPr>
      <w:r>
        <w:separator/>
      </w:r>
    </w:p>
  </w:footnote>
  <w:footnote w:type="continuationSeparator" w:id="0">
    <w:p w:rsidR="000C5ACF" w:rsidRDefault="000C5ACF" w:rsidP="0094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56659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96184D"/>
    <w:multiLevelType w:val="hybridMultilevel"/>
    <w:tmpl w:val="06D0BBD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1E245C6"/>
    <w:multiLevelType w:val="hybridMultilevel"/>
    <w:tmpl w:val="18FCD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AEB"/>
    <w:multiLevelType w:val="hybridMultilevel"/>
    <w:tmpl w:val="A47245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330272F"/>
    <w:multiLevelType w:val="hybridMultilevel"/>
    <w:tmpl w:val="C0A4E296"/>
    <w:lvl w:ilvl="0" w:tplc="51CED0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1545E6"/>
    <w:multiLevelType w:val="hybridMultilevel"/>
    <w:tmpl w:val="77103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F719B"/>
    <w:multiLevelType w:val="hybridMultilevel"/>
    <w:tmpl w:val="601EE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1261"/>
    <w:multiLevelType w:val="hybridMultilevel"/>
    <w:tmpl w:val="E82C6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79A1"/>
    <w:multiLevelType w:val="hybridMultilevel"/>
    <w:tmpl w:val="076C2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216B"/>
    <w:multiLevelType w:val="hybridMultilevel"/>
    <w:tmpl w:val="7C58A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16DEC"/>
    <w:multiLevelType w:val="hybridMultilevel"/>
    <w:tmpl w:val="8ED05A64"/>
    <w:lvl w:ilvl="0" w:tplc="53C4F1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A37D0E"/>
    <w:multiLevelType w:val="hybridMultilevel"/>
    <w:tmpl w:val="BB7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58F7"/>
    <w:multiLevelType w:val="hybridMultilevel"/>
    <w:tmpl w:val="7BEC7F16"/>
    <w:lvl w:ilvl="0" w:tplc="8DDCBC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BD6B54"/>
    <w:multiLevelType w:val="hybridMultilevel"/>
    <w:tmpl w:val="907C8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F64E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08F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7420"/>
    <w:multiLevelType w:val="hybridMultilevel"/>
    <w:tmpl w:val="AAB22376"/>
    <w:lvl w:ilvl="0" w:tplc="D450B47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96DF7"/>
    <w:multiLevelType w:val="hybridMultilevel"/>
    <w:tmpl w:val="A5D677B0"/>
    <w:lvl w:ilvl="0" w:tplc="DFB6DE52">
      <w:start w:val="1"/>
      <w:numFmt w:val="decimal"/>
      <w:lvlText w:val="%1."/>
      <w:lvlJc w:val="left"/>
      <w:pPr>
        <w:ind w:left="1080" w:hanging="360"/>
      </w:pPr>
      <w:rPr>
        <w:rFonts w:cs="Calibri"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E960DA"/>
    <w:multiLevelType w:val="hybridMultilevel"/>
    <w:tmpl w:val="986C1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924"/>
    <w:multiLevelType w:val="hybridMultilevel"/>
    <w:tmpl w:val="AB3C8FA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4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AC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4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4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0C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E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2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E41FA7"/>
    <w:multiLevelType w:val="hybridMultilevel"/>
    <w:tmpl w:val="07AA45B2"/>
    <w:lvl w:ilvl="0" w:tplc="9EC2DEEC">
      <w:start w:val="1"/>
      <w:numFmt w:val="bullet"/>
      <w:lvlText w:val=""/>
      <w:lvlJc w:val="left"/>
      <w:pPr>
        <w:ind w:left="20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20" w15:restartNumberingAfterBreak="0">
    <w:nsid w:val="6B6020B2"/>
    <w:multiLevelType w:val="hybridMultilevel"/>
    <w:tmpl w:val="19A67082"/>
    <w:lvl w:ilvl="0" w:tplc="BEB830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5773A11"/>
    <w:multiLevelType w:val="hybridMultilevel"/>
    <w:tmpl w:val="2FBA76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C371DB"/>
    <w:multiLevelType w:val="hybridMultilevel"/>
    <w:tmpl w:val="46267B38"/>
    <w:lvl w:ilvl="0" w:tplc="B096222A">
      <w:start w:val="1"/>
      <w:numFmt w:val="lowerRoman"/>
      <w:lvlText w:val="%1."/>
      <w:lvlJc w:val="right"/>
      <w:pPr>
        <w:ind w:left="1713" w:hanging="360"/>
      </w:pPr>
      <w:rPr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8"/>
  </w:num>
  <w:num w:numId="5">
    <w:abstractNumId w:val="9"/>
  </w:num>
  <w:num w:numId="6">
    <w:abstractNumId w:val="7"/>
  </w:num>
  <w:num w:numId="7">
    <w:abstractNumId w:val="21"/>
  </w:num>
  <w:num w:numId="8">
    <w:abstractNumId w:val="19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  <w:num w:numId="19">
    <w:abstractNumId w:val="0"/>
  </w:num>
  <w:num w:numId="20">
    <w:abstractNumId w:val="13"/>
  </w:num>
  <w:num w:numId="21">
    <w:abstractNumId w:val="20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88"/>
    <w:rsid w:val="000061A4"/>
    <w:rsid w:val="00010432"/>
    <w:rsid w:val="00012DB2"/>
    <w:rsid w:val="000160B8"/>
    <w:rsid w:val="00020CFD"/>
    <w:rsid w:val="00025285"/>
    <w:rsid w:val="00044912"/>
    <w:rsid w:val="00045B68"/>
    <w:rsid w:val="00054A58"/>
    <w:rsid w:val="00054CBE"/>
    <w:rsid w:val="00066036"/>
    <w:rsid w:val="000706DF"/>
    <w:rsid w:val="00071D7D"/>
    <w:rsid w:val="0007668E"/>
    <w:rsid w:val="0009519A"/>
    <w:rsid w:val="00095499"/>
    <w:rsid w:val="000A2B55"/>
    <w:rsid w:val="000B11A7"/>
    <w:rsid w:val="000B19B3"/>
    <w:rsid w:val="000B3465"/>
    <w:rsid w:val="000C5ACF"/>
    <w:rsid w:val="000C5BFF"/>
    <w:rsid w:val="000E1807"/>
    <w:rsid w:val="000E26B4"/>
    <w:rsid w:val="000F0780"/>
    <w:rsid w:val="000F633E"/>
    <w:rsid w:val="0010586A"/>
    <w:rsid w:val="00117911"/>
    <w:rsid w:val="00117BF6"/>
    <w:rsid w:val="001275DD"/>
    <w:rsid w:val="00127A85"/>
    <w:rsid w:val="001376E5"/>
    <w:rsid w:val="00156970"/>
    <w:rsid w:val="0015794B"/>
    <w:rsid w:val="00167DC5"/>
    <w:rsid w:val="001732A3"/>
    <w:rsid w:val="00173F63"/>
    <w:rsid w:val="00180693"/>
    <w:rsid w:val="0018650F"/>
    <w:rsid w:val="0018684A"/>
    <w:rsid w:val="00191150"/>
    <w:rsid w:val="00197A14"/>
    <w:rsid w:val="001A0E47"/>
    <w:rsid w:val="001A11AE"/>
    <w:rsid w:val="001A19F8"/>
    <w:rsid w:val="001A7C23"/>
    <w:rsid w:val="001C694B"/>
    <w:rsid w:val="001D18F2"/>
    <w:rsid w:val="001F3DD1"/>
    <w:rsid w:val="00201330"/>
    <w:rsid w:val="00221EF2"/>
    <w:rsid w:val="002255F0"/>
    <w:rsid w:val="00227784"/>
    <w:rsid w:val="0023731B"/>
    <w:rsid w:val="0026013B"/>
    <w:rsid w:val="00274B8C"/>
    <w:rsid w:val="0027602F"/>
    <w:rsid w:val="00276279"/>
    <w:rsid w:val="00291538"/>
    <w:rsid w:val="00293C8D"/>
    <w:rsid w:val="0029431B"/>
    <w:rsid w:val="00297526"/>
    <w:rsid w:val="00297F88"/>
    <w:rsid w:val="002A7F57"/>
    <w:rsid w:val="002B1F3E"/>
    <w:rsid w:val="002B245F"/>
    <w:rsid w:val="002C024A"/>
    <w:rsid w:val="002C3D99"/>
    <w:rsid w:val="002D435F"/>
    <w:rsid w:val="002E47F1"/>
    <w:rsid w:val="002F289C"/>
    <w:rsid w:val="00300901"/>
    <w:rsid w:val="00315BF9"/>
    <w:rsid w:val="0031745A"/>
    <w:rsid w:val="0032428C"/>
    <w:rsid w:val="00324D1A"/>
    <w:rsid w:val="00345EC8"/>
    <w:rsid w:val="003479BE"/>
    <w:rsid w:val="00351CEF"/>
    <w:rsid w:val="00352F57"/>
    <w:rsid w:val="003615FC"/>
    <w:rsid w:val="003625E8"/>
    <w:rsid w:val="00377EE5"/>
    <w:rsid w:val="00380546"/>
    <w:rsid w:val="003862B5"/>
    <w:rsid w:val="003A0686"/>
    <w:rsid w:val="003A47AB"/>
    <w:rsid w:val="003A704D"/>
    <w:rsid w:val="003B06DD"/>
    <w:rsid w:val="003B7A29"/>
    <w:rsid w:val="003D5987"/>
    <w:rsid w:val="003D7955"/>
    <w:rsid w:val="003F0EDE"/>
    <w:rsid w:val="003F15BC"/>
    <w:rsid w:val="003F3CC1"/>
    <w:rsid w:val="003F6115"/>
    <w:rsid w:val="004013FB"/>
    <w:rsid w:val="00407F17"/>
    <w:rsid w:val="004127C1"/>
    <w:rsid w:val="0041464F"/>
    <w:rsid w:val="00425814"/>
    <w:rsid w:val="00442DDF"/>
    <w:rsid w:val="004517B1"/>
    <w:rsid w:val="00461A3E"/>
    <w:rsid w:val="00467E24"/>
    <w:rsid w:val="00476543"/>
    <w:rsid w:val="00483110"/>
    <w:rsid w:val="00490C68"/>
    <w:rsid w:val="004978E3"/>
    <w:rsid w:val="004B1DCA"/>
    <w:rsid w:val="004B6E35"/>
    <w:rsid w:val="004B6FD7"/>
    <w:rsid w:val="004B78CA"/>
    <w:rsid w:val="004C2714"/>
    <w:rsid w:val="004C7032"/>
    <w:rsid w:val="004D20EA"/>
    <w:rsid w:val="004D52B2"/>
    <w:rsid w:val="004D7914"/>
    <w:rsid w:val="004E1833"/>
    <w:rsid w:val="004E349C"/>
    <w:rsid w:val="004F0DAF"/>
    <w:rsid w:val="004F2C08"/>
    <w:rsid w:val="004F40FC"/>
    <w:rsid w:val="00510780"/>
    <w:rsid w:val="00524C42"/>
    <w:rsid w:val="00536466"/>
    <w:rsid w:val="005368FE"/>
    <w:rsid w:val="0054397B"/>
    <w:rsid w:val="0055255A"/>
    <w:rsid w:val="00555FF2"/>
    <w:rsid w:val="00583500"/>
    <w:rsid w:val="0058584E"/>
    <w:rsid w:val="00594FA3"/>
    <w:rsid w:val="005A0D8E"/>
    <w:rsid w:val="005B7D7C"/>
    <w:rsid w:val="005C2AFE"/>
    <w:rsid w:val="005C3D22"/>
    <w:rsid w:val="005D1399"/>
    <w:rsid w:val="005E4A6D"/>
    <w:rsid w:val="005F0C55"/>
    <w:rsid w:val="005F12D0"/>
    <w:rsid w:val="005F1F0E"/>
    <w:rsid w:val="00602591"/>
    <w:rsid w:val="00624E58"/>
    <w:rsid w:val="006300DC"/>
    <w:rsid w:val="00635FDD"/>
    <w:rsid w:val="006402DD"/>
    <w:rsid w:val="00642BD4"/>
    <w:rsid w:val="006659AB"/>
    <w:rsid w:val="00672299"/>
    <w:rsid w:val="0068125B"/>
    <w:rsid w:val="00684F11"/>
    <w:rsid w:val="00690945"/>
    <w:rsid w:val="00695202"/>
    <w:rsid w:val="006C3233"/>
    <w:rsid w:val="006C69AD"/>
    <w:rsid w:val="006F0FDF"/>
    <w:rsid w:val="006F18EB"/>
    <w:rsid w:val="007128DC"/>
    <w:rsid w:val="00720E2A"/>
    <w:rsid w:val="0073201A"/>
    <w:rsid w:val="007575DA"/>
    <w:rsid w:val="00762569"/>
    <w:rsid w:val="00767994"/>
    <w:rsid w:val="007703B7"/>
    <w:rsid w:val="00771C5B"/>
    <w:rsid w:val="00786FEF"/>
    <w:rsid w:val="007935E1"/>
    <w:rsid w:val="007949AF"/>
    <w:rsid w:val="007B376A"/>
    <w:rsid w:val="007B6542"/>
    <w:rsid w:val="007B7FF1"/>
    <w:rsid w:val="007C1D11"/>
    <w:rsid w:val="007C63E1"/>
    <w:rsid w:val="007C662F"/>
    <w:rsid w:val="007D6501"/>
    <w:rsid w:val="007E4406"/>
    <w:rsid w:val="007F1C85"/>
    <w:rsid w:val="007F2E0F"/>
    <w:rsid w:val="00800B2D"/>
    <w:rsid w:val="00801B96"/>
    <w:rsid w:val="00802405"/>
    <w:rsid w:val="00813F34"/>
    <w:rsid w:val="00820289"/>
    <w:rsid w:val="00822FBB"/>
    <w:rsid w:val="00823ED6"/>
    <w:rsid w:val="008260AB"/>
    <w:rsid w:val="00827866"/>
    <w:rsid w:val="00831B02"/>
    <w:rsid w:val="008337F4"/>
    <w:rsid w:val="008359AC"/>
    <w:rsid w:val="008400BE"/>
    <w:rsid w:val="00843F39"/>
    <w:rsid w:val="00846EE5"/>
    <w:rsid w:val="00855A67"/>
    <w:rsid w:val="00855AF4"/>
    <w:rsid w:val="00857779"/>
    <w:rsid w:val="008609F1"/>
    <w:rsid w:val="00867465"/>
    <w:rsid w:val="00874792"/>
    <w:rsid w:val="008829AD"/>
    <w:rsid w:val="00887624"/>
    <w:rsid w:val="008A260A"/>
    <w:rsid w:val="008A332E"/>
    <w:rsid w:val="008A3C7F"/>
    <w:rsid w:val="008A45A4"/>
    <w:rsid w:val="008A7134"/>
    <w:rsid w:val="008B4A6A"/>
    <w:rsid w:val="008C09F2"/>
    <w:rsid w:val="008C5EFA"/>
    <w:rsid w:val="008C606E"/>
    <w:rsid w:val="008C79A5"/>
    <w:rsid w:val="008D0F7B"/>
    <w:rsid w:val="008D47E8"/>
    <w:rsid w:val="008D5E80"/>
    <w:rsid w:val="008E41EE"/>
    <w:rsid w:val="008E49BC"/>
    <w:rsid w:val="008F7D0B"/>
    <w:rsid w:val="00903632"/>
    <w:rsid w:val="0090370F"/>
    <w:rsid w:val="0091025F"/>
    <w:rsid w:val="00917075"/>
    <w:rsid w:val="00921EB2"/>
    <w:rsid w:val="009363DF"/>
    <w:rsid w:val="0094113D"/>
    <w:rsid w:val="00954134"/>
    <w:rsid w:val="0096178E"/>
    <w:rsid w:val="0097205A"/>
    <w:rsid w:val="00972E69"/>
    <w:rsid w:val="00974FE8"/>
    <w:rsid w:val="009765A5"/>
    <w:rsid w:val="00977351"/>
    <w:rsid w:val="00984CD9"/>
    <w:rsid w:val="0099203B"/>
    <w:rsid w:val="00994102"/>
    <w:rsid w:val="00995CE2"/>
    <w:rsid w:val="009C10BD"/>
    <w:rsid w:val="009C3EA1"/>
    <w:rsid w:val="009C55EF"/>
    <w:rsid w:val="009F43E5"/>
    <w:rsid w:val="00A05A09"/>
    <w:rsid w:val="00A1268A"/>
    <w:rsid w:val="00A132B1"/>
    <w:rsid w:val="00A213D0"/>
    <w:rsid w:val="00A214E1"/>
    <w:rsid w:val="00A22715"/>
    <w:rsid w:val="00A375E6"/>
    <w:rsid w:val="00A41045"/>
    <w:rsid w:val="00A410DE"/>
    <w:rsid w:val="00A5134E"/>
    <w:rsid w:val="00A539EE"/>
    <w:rsid w:val="00A71B15"/>
    <w:rsid w:val="00A7255F"/>
    <w:rsid w:val="00A75A86"/>
    <w:rsid w:val="00A7773C"/>
    <w:rsid w:val="00A8203C"/>
    <w:rsid w:val="00A9310D"/>
    <w:rsid w:val="00AA243B"/>
    <w:rsid w:val="00AB4123"/>
    <w:rsid w:val="00AD1506"/>
    <w:rsid w:val="00AD2800"/>
    <w:rsid w:val="00AD47EC"/>
    <w:rsid w:val="00AE22B1"/>
    <w:rsid w:val="00AF09C3"/>
    <w:rsid w:val="00AF4DEA"/>
    <w:rsid w:val="00B10CD1"/>
    <w:rsid w:val="00B13991"/>
    <w:rsid w:val="00B1618A"/>
    <w:rsid w:val="00B20F90"/>
    <w:rsid w:val="00B43D15"/>
    <w:rsid w:val="00B443EF"/>
    <w:rsid w:val="00B4490A"/>
    <w:rsid w:val="00B47612"/>
    <w:rsid w:val="00B72C9C"/>
    <w:rsid w:val="00B91668"/>
    <w:rsid w:val="00BA2E40"/>
    <w:rsid w:val="00BA3465"/>
    <w:rsid w:val="00BA7DB0"/>
    <w:rsid w:val="00BB32C4"/>
    <w:rsid w:val="00BC7816"/>
    <w:rsid w:val="00BF5419"/>
    <w:rsid w:val="00C068FB"/>
    <w:rsid w:val="00C078FB"/>
    <w:rsid w:val="00C2585D"/>
    <w:rsid w:val="00C42405"/>
    <w:rsid w:val="00C43AAD"/>
    <w:rsid w:val="00C467D0"/>
    <w:rsid w:val="00C53004"/>
    <w:rsid w:val="00C530AF"/>
    <w:rsid w:val="00C531E9"/>
    <w:rsid w:val="00C57826"/>
    <w:rsid w:val="00C60AB5"/>
    <w:rsid w:val="00C6215C"/>
    <w:rsid w:val="00C622B8"/>
    <w:rsid w:val="00C62783"/>
    <w:rsid w:val="00C62A0F"/>
    <w:rsid w:val="00C72120"/>
    <w:rsid w:val="00C72CED"/>
    <w:rsid w:val="00C80A9D"/>
    <w:rsid w:val="00C82112"/>
    <w:rsid w:val="00C83379"/>
    <w:rsid w:val="00C8351E"/>
    <w:rsid w:val="00C86B86"/>
    <w:rsid w:val="00C86F67"/>
    <w:rsid w:val="00C9026B"/>
    <w:rsid w:val="00C936A8"/>
    <w:rsid w:val="00CA11F0"/>
    <w:rsid w:val="00CA2A99"/>
    <w:rsid w:val="00CA76FF"/>
    <w:rsid w:val="00CA7739"/>
    <w:rsid w:val="00CB5F85"/>
    <w:rsid w:val="00CB7F65"/>
    <w:rsid w:val="00CC3F6F"/>
    <w:rsid w:val="00CD1D3C"/>
    <w:rsid w:val="00CD1F02"/>
    <w:rsid w:val="00CD3B64"/>
    <w:rsid w:val="00CD5841"/>
    <w:rsid w:val="00CD6599"/>
    <w:rsid w:val="00CE4739"/>
    <w:rsid w:val="00CF208C"/>
    <w:rsid w:val="00D0056B"/>
    <w:rsid w:val="00D0407F"/>
    <w:rsid w:val="00D04705"/>
    <w:rsid w:val="00D05070"/>
    <w:rsid w:val="00D075B3"/>
    <w:rsid w:val="00D129EF"/>
    <w:rsid w:val="00D15126"/>
    <w:rsid w:val="00D16E88"/>
    <w:rsid w:val="00D33523"/>
    <w:rsid w:val="00D6374D"/>
    <w:rsid w:val="00DC5315"/>
    <w:rsid w:val="00DD16CF"/>
    <w:rsid w:val="00DD5212"/>
    <w:rsid w:val="00DE247A"/>
    <w:rsid w:val="00E04C43"/>
    <w:rsid w:val="00E06522"/>
    <w:rsid w:val="00E24FE5"/>
    <w:rsid w:val="00E46650"/>
    <w:rsid w:val="00E46B62"/>
    <w:rsid w:val="00E60EBB"/>
    <w:rsid w:val="00E63298"/>
    <w:rsid w:val="00E810FD"/>
    <w:rsid w:val="00E85DEB"/>
    <w:rsid w:val="00EA2C9B"/>
    <w:rsid w:val="00EA650E"/>
    <w:rsid w:val="00EA6A5B"/>
    <w:rsid w:val="00EB6699"/>
    <w:rsid w:val="00EC252A"/>
    <w:rsid w:val="00ED38AB"/>
    <w:rsid w:val="00ED6C6F"/>
    <w:rsid w:val="00EE3AA4"/>
    <w:rsid w:val="00EE3EBF"/>
    <w:rsid w:val="00EE4032"/>
    <w:rsid w:val="00EF1194"/>
    <w:rsid w:val="00EF1A82"/>
    <w:rsid w:val="00F11A18"/>
    <w:rsid w:val="00F1201A"/>
    <w:rsid w:val="00F21D4C"/>
    <w:rsid w:val="00F24055"/>
    <w:rsid w:val="00F24C91"/>
    <w:rsid w:val="00F27E66"/>
    <w:rsid w:val="00F30F7D"/>
    <w:rsid w:val="00F335E5"/>
    <w:rsid w:val="00F44DC8"/>
    <w:rsid w:val="00F47887"/>
    <w:rsid w:val="00F5279E"/>
    <w:rsid w:val="00F5286F"/>
    <w:rsid w:val="00F544AC"/>
    <w:rsid w:val="00F710DA"/>
    <w:rsid w:val="00F72165"/>
    <w:rsid w:val="00F83EB5"/>
    <w:rsid w:val="00F869EA"/>
    <w:rsid w:val="00FA29B6"/>
    <w:rsid w:val="00FB4FAE"/>
    <w:rsid w:val="00FB615C"/>
    <w:rsid w:val="00FB619F"/>
    <w:rsid w:val="00FC129F"/>
    <w:rsid w:val="00FC4418"/>
    <w:rsid w:val="00FC4C35"/>
    <w:rsid w:val="00FC523B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BDEFC-CB35-4084-9A06-D357268B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88"/>
    <w:rPr>
      <w:rFonts w:eastAsiaTheme="minorEastAsia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6E8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6E88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D16E8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mesotitlos">
    <w:name w:val="mesotitlos"/>
    <w:basedOn w:val="DefaultParagraphFont"/>
    <w:rsid w:val="00D16E88"/>
  </w:style>
  <w:style w:type="paragraph" w:styleId="BalloonText">
    <w:name w:val="Balloon Text"/>
    <w:basedOn w:val="Normal"/>
    <w:link w:val="BalloonTextChar"/>
    <w:uiPriority w:val="99"/>
    <w:semiHidden/>
    <w:unhideWhenUsed/>
    <w:rsid w:val="00D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88"/>
    <w:rPr>
      <w:rFonts w:ascii="Tahoma" w:eastAsiaTheme="minorEastAsia" w:hAnsi="Tahoma" w:cs="Tahoma"/>
      <w:sz w:val="16"/>
      <w:szCs w:val="16"/>
      <w:lang w:eastAsia="el-GR"/>
    </w:rPr>
  </w:style>
  <w:style w:type="paragraph" w:styleId="ListParagraph">
    <w:name w:val="List Paragraph"/>
    <w:aliases w:val="Yellow Bullet,Normal bullet 2,Numbered Paragraph,# pharagraph,123 List Paragraph,Main numbered paragraph,References,Numbered List Paragraph,Bullets,List Paragraph (numbered (a)),List Paragraph nowy,Liste 1,List_Paragraph"/>
    <w:basedOn w:val="Normal"/>
    <w:link w:val="ListParagraphChar"/>
    <w:uiPriority w:val="34"/>
    <w:qFormat/>
    <w:rsid w:val="003862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585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4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13D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411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3D"/>
    <w:rPr>
      <w:rFonts w:eastAsiaTheme="minorEastAsia"/>
      <w:lang w:eastAsia="el-GR"/>
    </w:rPr>
  </w:style>
  <w:style w:type="paragraph" w:styleId="CommentText">
    <w:name w:val="annotation text"/>
    <w:basedOn w:val="Normal"/>
    <w:link w:val="CommentTextChar"/>
    <w:uiPriority w:val="99"/>
    <w:unhideWhenUsed/>
    <w:rsid w:val="005C3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D22"/>
    <w:rPr>
      <w:rFonts w:eastAsiaTheme="minorEastAsia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D22"/>
    <w:rPr>
      <w:rFonts w:eastAsiaTheme="minorEastAsia"/>
      <w:b/>
      <w:bCs/>
      <w:sz w:val="20"/>
      <w:szCs w:val="20"/>
      <w:lang w:eastAsia="el-GR"/>
    </w:rPr>
  </w:style>
  <w:style w:type="character" w:customStyle="1" w:styleId="ListParagraphChar">
    <w:name w:val="List Paragraph Char"/>
    <w:aliases w:val="Yellow Bullet Char,Normal bullet 2 Char,Numbered Paragraph Char,# pharagraph Char,123 List Paragraph Char,Main numbered paragraph Char,References Char,Numbered List Paragraph Char,Bullets Char,List Paragraph (numbered (a)) Char"/>
    <w:link w:val="ListParagraph"/>
    <w:rsid w:val="00CB5F85"/>
    <w:rPr>
      <w:rFonts w:eastAsiaTheme="minorEastAsia"/>
      <w:lang w:eastAsia="el-GR"/>
    </w:rPr>
  </w:style>
  <w:style w:type="character" w:styleId="Hyperlink">
    <w:name w:val="Hyperlink"/>
    <w:basedOn w:val="DefaultParagraphFont"/>
    <w:uiPriority w:val="99"/>
    <w:unhideWhenUsed/>
    <w:rsid w:val="004F40F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B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A85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954134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yd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yd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CF0A-DF72-41E5-88C2-8538D22A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5956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GeorgeZ</dc:creator>
  <cp:lastModifiedBy>GeorgeZ</cp:lastModifiedBy>
  <cp:revision>2</cp:revision>
  <cp:lastPrinted>2021-02-02T10:27:00Z</cp:lastPrinted>
  <dcterms:created xsi:type="dcterms:W3CDTF">2021-03-08T10:33:00Z</dcterms:created>
  <dcterms:modified xsi:type="dcterms:W3CDTF">2021-03-08T10:33:00Z</dcterms:modified>
</cp:coreProperties>
</file>