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0"/>
        <w:jc w:val="center"/>
        <w:rPr>
          <w:rFonts w:ascii="Calibri" w:hAnsi="Calibri" w:cs="Calibri" w:asciiTheme="minorHAnsi" w:hAnsiTheme="minorHAnsi"/>
          <w:sz w:val="22"/>
          <w:szCs w:val="22"/>
        </w:rPr>
      </w:pPr>
      <w:r>
        <w:rPr>
          <w:rFonts w:cs="Calibri" w:ascii="Calibri" w:hAnsi="Calibri" w:asciiTheme="minorHAnsi" w:hAnsiTheme="minorHAnsi"/>
          <w:sz w:val="22"/>
          <w:szCs w:val="22"/>
        </w:rPr>
        <w:t xml:space="preserve">        </w:t>
      </w:r>
    </w:p>
    <w:p>
      <w:pPr>
        <w:pStyle w:val="Normal"/>
        <w:keepNext/>
        <w:numPr>
          <w:ilvl w:val="0"/>
          <w:numId w:val="0"/>
        </w:numPr>
        <w:outlineLvl w:val="2"/>
        <w:rPr>
          <w:rFonts w:ascii="Calibri" w:hAnsi="Calibri" w:cs="Calibri" w:asciiTheme="minorHAnsi" w:hAnsiTheme="minorHAnsi"/>
          <w:b/>
          <w:b/>
          <w:bCs/>
          <w:sz w:val="22"/>
          <w:szCs w:val="22"/>
        </w:rPr>
      </w:pPr>
      <w:r>
        <w:rPr>
          <w:rFonts w:cs="Calibri" w:ascii="Calibri" w:hAnsi="Calibri" w:asciiTheme="minorHAnsi" w:hAnsiTheme="minorHAnsi"/>
          <w:b/>
          <w:bCs/>
          <w:sz w:val="22"/>
          <w:szCs w:val="22"/>
        </w:rPr>
        <w:t xml:space="preserve">               </w:t>
      </w:r>
      <w:r>
        <w:rPr>
          <w:rFonts w:cs="Calibri" w:ascii="Calibri" w:hAnsi="Calibri" w:asciiTheme="minorHAnsi" w:hAnsiTheme="minorHAnsi"/>
          <w:b/>
          <w:bCs/>
          <w:sz w:val="22"/>
          <w:szCs w:val="22"/>
        </w:rPr>
        <w:drawing>
          <wp:inline distT="0" distB="0" distL="0" distR="0">
            <wp:extent cx="476250" cy="4857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476250" cy="485775"/>
                    </a:xfrm>
                    <a:prstGeom prst="rect">
                      <a:avLst/>
                    </a:prstGeom>
                  </pic:spPr>
                </pic:pic>
              </a:graphicData>
            </a:graphic>
          </wp:inline>
        </w:drawing>
      </w:r>
    </w:p>
    <w:p>
      <w:pPr>
        <w:pStyle w:val="Normal"/>
        <w:keepNext/>
        <w:numPr>
          <w:ilvl w:val="0"/>
          <w:numId w:val="0"/>
        </w:numPr>
        <w:outlineLvl w:val="2"/>
        <w:rPr>
          <w:rFonts w:ascii="Calibri" w:hAnsi="Calibri" w:cs="Calibri" w:asciiTheme="minorHAnsi" w:hAnsiTheme="minorHAnsi"/>
          <w:b/>
          <w:b/>
          <w:bCs/>
          <w:sz w:val="22"/>
          <w:szCs w:val="22"/>
        </w:rPr>
      </w:pPr>
      <w:r>
        <w:rPr>
          <w:rFonts w:cs="Calibri" w:ascii="Calibri" w:hAnsi="Calibri" w:asciiTheme="minorHAnsi" w:hAnsiTheme="minorHAnsi"/>
          <w:b/>
          <w:bCs/>
          <w:sz w:val="22"/>
          <w:szCs w:val="22"/>
        </w:rPr>
        <w:t>ΕΛΛΗΝΙΚΗ ΔΗΜΟΚΡΑΤΙΑ</w:t>
      </w:r>
    </w:p>
    <w:p>
      <w:pPr>
        <w:pStyle w:val="Normal"/>
        <w:keepNext/>
        <w:numPr>
          <w:ilvl w:val="0"/>
          <w:numId w:val="0"/>
        </w:numPr>
        <w:outlineLvl w:val="2"/>
        <w:rPr>
          <w:rFonts w:ascii="Calibri" w:hAnsi="Calibri" w:cs="Calibri" w:asciiTheme="minorHAnsi" w:hAnsiTheme="minorHAnsi"/>
          <w:sz w:val="22"/>
          <w:szCs w:val="22"/>
        </w:rPr>
      </w:pPr>
      <w:r>
        <w:rPr>
          <w:rFonts w:cs="Calibri" w:ascii="Calibri" w:hAnsi="Calibri" w:asciiTheme="minorHAnsi" w:hAnsiTheme="minorHAnsi"/>
          <w:b/>
          <w:bCs/>
          <w:sz w:val="22"/>
          <w:szCs w:val="22"/>
        </w:rPr>
        <w:t>ΥΠΟΥΡΓΕΙΟ ΤΟΥΡΙΣΜΟΥ</w:t>
      </w:r>
    </w:p>
    <w:p>
      <w:pPr>
        <w:pStyle w:val="Normal"/>
        <w:rPr>
          <w:rFonts w:ascii="Calibri" w:hAnsi="Calibri" w:cs="Calibri" w:asciiTheme="minorHAnsi" w:hAnsiTheme="minorHAnsi"/>
          <w:sz w:val="22"/>
          <w:szCs w:val="22"/>
        </w:rPr>
      </w:pPr>
      <w:r>
        <w:rPr>
          <w:rFonts w:cs="Calibri" w:ascii="Calibri" w:hAnsi="Calibri" w:asciiTheme="minorHAnsi" w:hAnsiTheme="minorHAnsi"/>
          <w:sz w:val="22"/>
          <w:szCs w:val="22"/>
        </w:rPr>
        <w:t xml:space="preserve">         </w:t>
      </w:r>
      <w:r>
        <w:rPr>
          <w:rFonts w:cs="Calibri" w:ascii="Calibri" w:hAnsi="Calibri" w:asciiTheme="minorHAnsi" w:hAnsiTheme="minorHAnsi"/>
          <w:sz w:val="22"/>
          <w:szCs w:val="22"/>
        </w:rPr>
        <w:t>Γραφείο Τύπου</w:t>
      </w:r>
    </w:p>
    <w:p>
      <w:pPr>
        <w:pStyle w:val="Normal"/>
        <w:jc w:val="right"/>
        <w:rPr>
          <w:rFonts w:ascii="Calibri" w:hAnsi="Calibri" w:cs="Calibri" w:asciiTheme="minorHAnsi" w:hAnsiTheme="minorHAnsi"/>
          <w:sz w:val="22"/>
          <w:szCs w:val="22"/>
        </w:rPr>
      </w:pPr>
      <w:r>
        <w:rPr>
          <w:rFonts w:cs="Calibri" w:ascii="Calibri" w:hAnsi="Calibri"/>
          <w:sz w:val="22"/>
          <w:szCs w:val="22"/>
        </w:rPr>
        <mc:AlternateContent>
          <mc:Choice Requires="wps">
            <w:drawing>
              <wp:anchor behindDoc="0" distT="0" distB="0" distL="114300" distR="114300" simplePos="0" locked="0" layoutInCell="1" allowOverlap="1" relativeHeight="3" wp14:anchorId="2D758594">
                <wp:simplePos x="0" y="0"/>
                <wp:positionH relativeFrom="column">
                  <wp:posOffset>0</wp:posOffset>
                </wp:positionH>
                <wp:positionV relativeFrom="paragraph">
                  <wp:posOffset>71120</wp:posOffset>
                </wp:positionV>
                <wp:extent cx="5782945" cy="1905"/>
                <wp:effectExtent l="19050" t="21590" r="19050" b="16510"/>
                <wp:wrapNone/>
                <wp:docPr id="2" name="AutoShape 2"/>
                <a:graphic xmlns:a="http://schemas.openxmlformats.org/drawingml/2006/main">
                  <a:graphicData uri="http://schemas.microsoft.com/office/word/2010/wordprocessingShape">
                    <wps:wsp>
                      <wps:cNvSpPr/>
                      <wps:spPr>
                        <a:xfrm>
                          <a:off x="0" y="0"/>
                          <a:ext cx="5782320" cy="1440"/>
                        </a:xfrm>
                        <a:custGeom>
                          <a:avLst/>
                          <a:gdLst/>
                          <a:ahLst/>
                          <a:rect l="l" t="t" r="r" b="b"/>
                          <a:pathLst>
                            <a:path w="21600" h="21600">
                              <a:moveTo>
                                <a:pt x="0" y="0"/>
                              </a:moveTo>
                              <a:lnTo>
                                <a:pt x="21600" y="21600"/>
                              </a:lnTo>
                            </a:path>
                          </a:pathLst>
                        </a:custGeom>
                        <a:noFill/>
                        <a:ln w="28440">
                          <a:solidFill>
                            <a:srgbClr val="2f5496"/>
                          </a:solidFill>
                          <a:round/>
                        </a:ln>
                      </wps:spPr>
                      <wps:style>
                        <a:lnRef idx="0"/>
                        <a:fillRef idx="0"/>
                        <a:effectRef idx="0"/>
                        <a:fontRef idx="minor"/>
                      </wps:style>
                      <wps:bodyPr/>
                    </wps:wsp>
                  </a:graphicData>
                </a:graphic>
              </wp:anchor>
            </w:drawing>
          </mc:Choice>
          <mc:Fallback>
            <w:pict/>
          </mc:Fallback>
        </mc:AlternateContent>
      </w:r>
    </w:p>
    <w:p>
      <w:pPr>
        <w:pStyle w:val="Normal"/>
        <w:jc w:val="right"/>
        <w:rPr>
          <w:rFonts w:ascii="Calibri" w:hAnsi="Calibri" w:asciiTheme="minorHAnsi" w:hAnsiTheme="minorHAnsi"/>
          <w:sz w:val="22"/>
          <w:szCs w:val="22"/>
        </w:rPr>
      </w:pPr>
      <w:bookmarkStart w:id="0" w:name="m_-3213098295088263371__GoBack"/>
      <w:bookmarkStart w:id="1" w:name="m_-3213098295088263371__GoBack"/>
      <w:bookmarkEnd w:id="1"/>
      <w:r>
        <w:rPr>
          <w:rFonts w:asciiTheme="minorHAnsi" w:hAnsiTheme="minorHAnsi" w:ascii="Calibri" w:hAnsi="Calibri"/>
          <w:sz w:val="22"/>
          <w:szCs w:val="22"/>
        </w:rPr>
      </w:r>
    </w:p>
    <w:p>
      <w:pPr>
        <w:pStyle w:val="Normal"/>
        <w:ind w:right="-170" w:hanging="0"/>
        <w:jc w:val="center"/>
        <w:rPr>
          <w:rFonts w:ascii="Calibri" w:hAnsi="Calibri" w:cs="Calibri" w:asciiTheme="minorHAnsi" w:cstheme="minorHAnsi" w:hAnsiTheme="minorHAnsi"/>
          <w:b/>
          <w:b/>
          <w:color w:val="00000A"/>
          <w:sz w:val="22"/>
          <w:szCs w:val="22"/>
        </w:rPr>
      </w:pPr>
      <w:r>
        <w:rPr>
          <w:rFonts w:cs="Calibri" w:cstheme="minorHAnsi" w:ascii="Calibri" w:hAnsi="Calibri"/>
          <w:b/>
          <w:color w:val="00000A"/>
          <w:sz w:val="22"/>
          <w:szCs w:val="22"/>
        </w:rPr>
      </w:r>
    </w:p>
    <w:p>
      <w:pPr>
        <w:pStyle w:val="Normal"/>
        <w:jc w:val="right"/>
        <w:rPr>
          <w:rFonts w:ascii="Calibri" w:hAnsi="Calibri" w:asciiTheme="minorHAnsi" w:hAnsiTheme="minorHAnsi"/>
          <w:sz w:val="22"/>
          <w:szCs w:val="22"/>
        </w:rPr>
      </w:pPr>
      <w:r>
        <w:rPr>
          <w:rFonts w:ascii="Calibri" w:hAnsi="Calibri" w:asciiTheme="minorHAnsi" w:hAnsiTheme="minorHAnsi"/>
          <w:sz w:val="22"/>
          <w:szCs w:val="22"/>
        </w:rPr>
        <w:t>21.11.2017</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jc w:val="center"/>
        <w:rPr>
          <w:rFonts w:ascii="Calibri" w:hAnsi="Calibri" w:asciiTheme="minorHAnsi" w:hAnsiTheme="minorHAnsi"/>
          <w:b/>
          <w:b/>
          <w:sz w:val="22"/>
          <w:szCs w:val="22"/>
        </w:rPr>
      </w:pPr>
      <w:r>
        <w:rPr>
          <w:rFonts w:ascii="Calibri" w:hAnsi="Calibri" w:asciiTheme="minorHAnsi" w:hAnsiTheme="minorHAnsi"/>
          <w:b/>
          <w:sz w:val="22"/>
          <w:szCs w:val="22"/>
        </w:rPr>
        <w:t xml:space="preserve">ΔΕΛΤΙΟ ΤΥΠΟΥ </w:t>
      </w:r>
    </w:p>
    <w:p>
      <w:pPr>
        <w:pStyle w:val="Normal"/>
        <w:jc w:val="center"/>
        <w:rPr>
          <w:rFonts w:ascii="Calibri" w:hAnsi="Calibri" w:asciiTheme="minorHAnsi" w:hAnsiTheme="minorHAnsi"/>
          <w:b/>
          <w:b/>
          <w:sz w:val="22"/>
          <w:szCs w:val="22"/>
        </w:rPr>
      </w:pPr>
      <w:r>
        <w:rPr>
          <w:rFonts w:asciiTheme="minorHAnsi" w:hAnsiTheme="minorHAnsi" w:ascii="Calibri" w:hAnsi="Calibri"/>
          <w:b/>
          <w:sz w:val="22"/>
          <w:szCs w:val="22"/>
        </w:rPr>
      </w:r>
    </w:p>
    <w:p>
      <w:pPr>
        <w:pStyle w:val="Normal"/>
        <w:spacing w:lineRule="auto" w:line="259" w:before="0" w:after="160"/>
        <w:jc w:val="center"/>
        <w:rPr>
          <w:rFonts w:ascii="Calibri" w:hAnsi="Calibri" w:eastAsia="Calibri" w:asciiTheme="minorHAnsi" w:hAnsiTheme="minorHAnsi"/>
          <w:b/>
          <w:b/>
          <w:sz w:val="22"/>
          <w:szCs w:val="22"/>
          <w:lang w:eastAsia="en-US"/>
        </w:rPr>
      </w:pPr>
      <w:r>
        <w:rPr>
          <w:rFonts w:eastAsia="Calibri" w:ascii="Calibri" w:hAnsi="Calibri" w:asciiTheme="minorHAnsi" w:hAnsiTheme="minorHAnsi"/>
          <w:b/>
          <w:sz w:val="22"/>
          <w:szCs w:val="22"/>
          <w:lang w:eastAsia="en-US"/>
        </w:rPr>
        <w:t>Λήγει στις  30  Νοεμβρίου η προθεσμία υποβολής αιτήματος για έκδοση ΑΕΠΟ από τις υπόχρεες τουριστικές επιχειρήσεις, υπενθυμίζει η Γενική Γραμματεία Τουριστικής Πολιτικής και Ανάπτυξης  με νέα επιστολή στους αρμόδιους φορείς</w:t>
      </w:r>
    </w:p>
    <w:p>
      <w:pPr>
        <w:pStyle w:val="Normal"/>
        <w:spacing w:lineRule="auto" w:line="259" w:before="0" w:after="160"/>
        <w:rPr>
          <w:rFonts w:ascii="Calibri" w:hAnsi="Calibri" w:eastAsia="Calibri" w:asciiTheme="minorHAnsi" w:hAnsiTheme="minorHAnsi"/>
          <w:sz w:val="22"/>
          <w:szCs w:val="22"/>
          <w:lang w:eastAsia="en-US"/>
        </w:rPr>
      </w:pPr>
      <w:r>
        <w:rPr>
          <w:rFonts w:eastAsia="Calibri" w:ascii="Calibri" w:hAnsi="Calibri"/>
          <w:sz w:val="22"/>
          <w:szCs w:val="22"/>
          <w:lang w:eastAsia="en-US"/>
        </w:rPr>
      </w:r>
    </w:p>
    <w:p>
      <w:pPr>
        <w:pStyle w:val="Normal"/>
        <w:spacing w:lineRule="auto" w:line="259" w:before="0" w:after="160"/>
        <w:rPr>
          <w:rFonts w:ascii="Calibri" w:hAnsi="Calibri" w:eastAsia="Calibri" w:asciiTheme="minorHAnsi" w:hAnsiTheme="minorHAnsi"/>
          <w:sz w:val="22"/>
          <w:szCs w:val="22"/>
          <w:lang w:eastAsia="en-US"/>
        </w:rPr>
      </w:pPr>
      <w:r>
        <w:rPr>
          <w:rFonts w:eastAsia="Calibri" w:ascii="Calibri" w:hAnsi="Calibri" w:asciiTheme="minorHAnsi" w:hAnsiTheme="minorHAnsi"/>
          <w:sz w:val="22"/>
          <w:szCs w:val="22"/>
          <w:lang w:val="en-US" w:eastAsia="en-US"/>
        </w:rPr>
        <w:t>H</w:t>
      </w:r>
      <w:r>
        <w:rPr>
          <w:rFonts w:eastAsia="Calibri" w:ascii="Calibri" w:hAnsi="Calibri" w:asciiTheme="minorHAnsi" w:hAnsiTheme="minorHAnsi"/>
          <w:sz w:val="22"/>
          <w:szCs w:val="22"/>
          <w:lang w:eastAsia="en-US"/>
        </w:rPr>
        <w:t xml:space="preserve"> Γενική Γραμματεία Τουριστικής Πολιτικής και Ανάπτυξης, για μία ακόμη φορά και μετά από διαδοχικές παρατάσεις που έχουν δοθεί, καλεί τις υπόχρεες τουριστικές επιχειρήσεις να προχωρήσουν στην κατάθεση αιτήματος για την έκδοση Απόφασης Έγκρισης Περιβαλλοντικών Όρων (ΑΕΠΟ) έως τις 30 Νοεμβρίου 2017.</w:t>
      </w:r>
    </w:p>
    <w:p>
      <w:pPr>
        <w:pStyle w:val="Normal"/>
        <w:spacing w:lineRule="auto" w:line="259" w:before="0" w:after="160"/>
        <w:rPr>
          <w:rFonts w:ascii="Calibri" w:hAnsi="Calibri" w:eastAsia="Calibri" w:asciiTheme="minorHAnsi" w:hAnsiTheme="minorHAnsi"/>
          <w:sz w:val="22"/>
          <w:szCs w:val="22"/>
          <w:lang w:eastAsia="en-US"/>
        </w:rPr>
      </w:pPr>
      <w:r>
        <w:rPr>
          <w:rFonts w:eastAsia="Calibri" w:ascii="Calibri" w:hAnsi="Calibri" w:asciiTheme="minorHAnsi" w:hAnsiTheme="minorHAnsi"/>
          <w:sz w:val="22"/>
          <w:szCs w:val="22"/>
          <w:lang w:eastAsia="en-US"/>
        </w:rPr>
        <w:t>Διαφορετικά, όπως τονίζεται στην επιστολή, η άπρακτη παρέλευση της τετράμηνης προθεσμίας με καταληκτική ημερομηνία την 30</w:t>
      </w:r>
      <w:r>
        <w:rPr>
          <w:rFonts w:eastAsia="Calibri" w:ascii="Calibri" w:hAnsi="Calibri" w:asciiTheme="minorHAnsi" w:hAnsiTheme="minorHAnsi"/>
          <w:sz w:val="22"/>
          <w:szCs w:val="22"/>
          <w:vertAlign w:val="superscript"/>
          <w:lang w:eastAsia="en-US"/>
        </w:rPr>
        <w:t xml:space="preserve">η </w:t>
      </w:r>
      <w:r>
        <w:rPr>
          <w:rFonts w:eastAsia="Calibri" w:ascii="Calibri" w:hAnsi="Calibri" w:asciiTheme="minorHAnsi" w:hAnsiTheme="minorHAnsi"/>
          <w:sz w:val="22"/>
          <w:szCs w:val="22"/>
          <w:lang w:eastAsia="en-US"/>
        </w:rPr>
        <w:t xml:space="preserve">Νοεμβρίου, γεννά υποχρέωση της υπηρεσίας που χορήγησε το Ειδικό Σήμα Λειτουργίας, βάσει νόμου, να το ανακαλέσει άμεσα. </w:t>
      </w:r>
    </w:p>
    <w:p>
      <w:pPr>
        <w:pStyle w:val="Normal"/>
        <w:spacing w:lineRule="auto" w:line="259" w:before="0" w:after="160"/>
        <w:rPr>
          <w:rFonts w:ascii="Calibri" w:hAnsi="Calibri" w:eastAsia="Calibri" w:asciiTheme="minorHAnsi" w:hAnsiTheme="minorHAnsi"/>
          <w:sz w:val="22"/>
          <w:szCs w:val="22"/>
          <w:lang w:eastAsia="en-US"/>
        </w:rPr>
      </w:pPr>
      <w:r>
        <w:rPr>
          <w:rFonts w:eastAsia="Calibri" w:ascii="Calibri" w:hAnsi="Calibri" w:asciiTheme="minorHAnsi" w:hAnsiTheme="minorHAnsi"/>
          <w:sz w:val="22"/>
          <w:szCs w:val="22"/>
          <w:lang w:eastAsia="en-US"/>
        </w:rPr>
        <w:t>Πρόκειται για την τρίτη κατά σειρά υπενθυμιστική επιστολή της Γενικής Γραμματείας Τουριστικής Ανάπτυξης σε συνέχεια αυτών της 14</w:t>
      </w:r>
      <w:r>
        <w:rPr>
          <w:rFonts w:eastAsia="Calibri" w:ascii="Calibri" w:hAnsi="Calibri" w:asciiTheme="minorHAnsi" w:hAnsiTheme="minorHAnsi"/>
          <w:sz w:val="22"/>
          <w:szCs w:val="22"/>
          <w:vertAlign w:val="superscript"/>
          <w:lang w:eastAsia="en-US"/>
        </w:rPr>
        <w:t>ης</w:t>
      </w:r>
      <w:r>
        <w:rPr>
          <w:rFonts w:eastAsia="Calibri" w:ascii="Calibri" w:hAnsi="Calibri" w:asciiTheme="minorHAnsi" w:hAnsiTheme="minorHAnsi"/>
          <w:sz w:val="22"/>
          <w:szCs w:val="22"/>
          <w:lang w:eastAsia="en-US"/>
        </w:rPr>
        <w:t xml:space="preserve"> Σεπτεμβρίου και 7</w:t>
      </w:r>
      <w:r>
        <w:rPr>
          <w:rFonts w:eastAsia="Calibri" w:ascii="Calibri" w:hAnsi="Calibri" w:asciiTheme="minorHAnsi" w:hAnsiTheme="minorHAnsi"/>
          <w:sz w:val="22"/>
          <w:szCs w:val="22"/>
          <w:vertAlign w:val="superscript"/>
          <w:lang w:eastAsia="en-US"/>
        </w:rPr>
        <w:t>ης</w:t>
      </w:r>
      <w:r>
        <w:rPr>
          <w:rFonts w:eastAsia="Calibri" w:ascii="Calibri" w:hAnsi="Calibri" w:asciiTheme="minorHAnsi" w:hAnsiTheme="minorHAnsi"/>
          <w:sz w:val="22"/>
          <w:szCs w:val="22"/>
          <w:lang w:eastAsia="en-US"/>
        </w:rPr>
        <w:t xml:space="preserve"> Νοεμβρίου, προς τους αρμόδιους φορείς. </w:t>
      </w:r>
    </w:p>
    <w:p>
      <w:pPr>
        <w:pStyle w:val="Normal"/>
        <w:rPr>
          <w:rFonts w:ascii="Calibri" w:hAnsi="Calibri" w:eastAsia="Calibri" w:asciiTheme="minorHAnsi" w:hAnsiTheme="minorHAnsi"/>
          <w:sz w:val="22"/>
          <w:szCs w:val="22"/>
          <w:lang w:eastAsia="en-US"/>
        </w:rPr>
      </w:pPr>
      <w:r>
        <w:rPr>
          <w:rFonts w:eastAsia="Calibri" w:ascii="Calibri" w:hAnsi="Calibri" w:asciiTheme="minorHAnsi" w:hAnsiTheme="minorHAnsi"/>
          <w:sz w:val="22"/>
          <w:szCs w:val="22"/>
          <w:lang w:eastAsia="en-US"/>
        </w:rPr>
        <w:t>Η υποχρέωση αυτή αφορά υφιστάμενα κύρια ξενοδοχειακά καταλύματα της παρ.2 του ν.4276/2014 (Α’155) όπου συμπεριλαμβάνονται και τα κάμπινγκ και οι επιχειρήσεις ιαματικού τουρισμού.</w:t>
      </w:r>
    </w:p>
    <w:p>
      <w:pPr>
        <w:pStyle w:val="Normal"/>
        <w:rPr>
          <w:rFonts w:ascii="Calibri" w:hAnsi="Calibri" w:eastAsia="Calibri" w:asciiTheme="minorHAnsi" w:hAnsiTheme="minorHAnsi"/>
          <w:sz w:val="22"/>
          <w:szCs w:val="22"/>
          <w:lang w:eastAsia="en-US"/>
        </w:rPr>
      </w:pPr>
      <w:r>
        <w:rPr>
          <w:rFonts w:eastAsia="Calibri" w:ascii="Calibri" w:hAnsi="Calibri"/>
          <w:sz w:val="22"/>
          <w:szCs w:val="22"/>
          <w:lang w:eastAsia="en-US"/>
        </w:rPr>
      </w:r>
    </w:p>
    <w:p>
      <w:pPr>
        <w:pStyle w:val="Normal"/>
        <w:rPr>
          <w:rFonts w:ascii="Calibri" w:hAnsi="Calibri" w:eastAsia="Calibri" w:asciiTheme="minorHAnsi" w:hAnsiTheme="minorHAnsi"/>
          <w:sz w:val="22"/>
          <w:szCs w:val="22"/>
          <w:lang w:eastAsia="en-US"/>
        </w:rPr>
      </w:pPr>
      <w:r>
        <w:rPr>
          <w:rFonts w:eastAsia="Calibri" w:ascii="Calibri" w:hAnsi="Calibri" w:asciiTheme="minorHAnsi" w:hAnsiTheme="minorHAnsi"/>
          <w:sz w:val="22"/>
          <w:szCs w:val="22"/>
          <w:lang w:eastAsia="en-US"/>
        </w:rPr>
        <w:t xml:space="preserve"> </w:t>
      </w:r>
      <w:r>
        <w:rPr>
          <w:rFonts w:ascii="Calibri" w:hAnsi="Calibri" w:asciiTheme="minorHAnsi" w:hAnsiTheme="minorHAnsi"/>
          <w:sz w:val="22"/>
          <w:szCs w:val="22"/>
        </w:rPr>
        <w:t>Τονίζεται ότι έχουν δοθεί διαδοχικές παρατάσεις εξαντλώντας όλα τα περιθώρια, ώστε οι υπόχρεες επιχειρήσεις να καταθέσουν το αίτημα έκδοσης ΑΕΠΟ  προς την  αρμόδια περιβαλλοντική αρχή και επομένως να έχουν το δικαίωμα ένταξης στην  ευνοϊκή ρύθμιση των δύο ετών, προκειμένου να  συνεχίσουν να λειτουργούν και  να μη λήξει το Ειδικό Σήμα Λειτουργίας τους.</w:t>
      </w:r>
    </w:p>
    <w:p>
      <w:pPr>
        <w:pStyle w:val="Normal"/>
        <w:rPr>
          <w:rFonts w:ascii="Calibri" w:hAnsi="Calibri" w:eastAsia="Calibri"/>
          <w:sz w:val="22"/>
          <w:szCs w:val="22"/>
          <w:lang w:eastAsia="en-US"/>
        </w:rPr>
      </w:pPr>
      <w:r>
        <w:rPr>
          <w:rFonts w:eastAsia="Calibri" w:ascii="Calibri" w:hAnsi="Calibri"/>
          <w:sz w:val="22"/>
          <w:szCs w:val="22"/>
          <w:lang w:eastAsia="en-US"/>
        </w:rPr>
      </w:r>
    </w:p>
    <w:p>
      <w:pPr>
        <w:pStyle w:val="Normal"/>
        <w:jc w:val="right"/>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61ed"/>
    <w:pPr>
      <w:widowControl/>
      <w:bidi w:val="0"/>
      <w:jc w:val="left"/>
    </w:pPr>
    <w:rPr>
      <w:rFonts w:ascii="Times New Roman" w:hAnsi="Times New Roman" w:eastAsia="Times New Roman" w:cs="Times New Roman"/>
      <w:color w:val="auto"/>
      <w:sz w:val="24"/>
      <w:szCs w:val="24"/>
      <w:lang w:val="el-GR" w:eastAsia="el-GR" w:bidi="ar-SA"/>
    </w:rPr>
  </w:style>
  <w:style w:type="paragraph" w:styleId="1">
    <w:name w:val="Heading 1"/>
    <w:basedOn w:val="Normal"/>
    <w:link w:val="1Char"/>
    <w:uiPriority w:val="99"/>
    <w:qFormat/>
    <w:rsid w:val="005b6bcf"/>
    <w:pPr>
      <w:keepNext/>
      <w:keepLines/>
      <w:spacing w:lineRule="auto" w:line="259" w:before="240" w:after="0"/>
      <w:outlineLvl w:val="0"/>
    </w:pPr>
    <w:rPr>
      <w:rFonts w:ascii="Cambria" w:hAnsi="Cambria" w:cs="Cambria"/>
      <w:color w:val="365F91"/>
      <w:sz w:val="32"/>
      <w:szCs w:val="32"/>
      <w:lang w:eastAsia="en-U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5b6bcf"/>
    <w:rPr>
      <w:rFonts w:ascii="Cambria" w:hAnsi="Cambria" w:cs="Cambria"/>
      <w:color w:val="365F91"/>
      <w:sz w:val="32"/>
      <w:szCs w:val="32"/>
    </w:rPr>
  </w:style>
  <w:style w:type="character" w:styleId="Char" w:customStyle="1">
    <w:name w:val="Κείμενο πλαισίου Char"/>
    <w:basedOn w:val="DefaultParagraphFont"/>
    <w:link w:val="a3"/>
    <w:uiPriority w:val="99"/>
    <w:semiHidden/>
    <w:qFormat/>
    <w:rsid w:val="006661ed"/>
    <w:rPr>
      <w:rFonts w:ascii="Tahoma" w:hAnsi="Tahoma" w:cs="Tahoma"/>
      <w:sz w:val="16"/>
      <w:szCs w:val="16"/>
      <w:lang w:eastAsia="el-GR"/>
    </w:rPr>
  </w:style>
  <w:style w:type="character" w:styleId="Appleconvertedspace" w:customStyle="1">
    <w:name w:val="apple-converted-space"/>
    <w:basedOn w:val="DefaultParagraphFont"/>
    <w:uiPriority w:val="99"/>
    <w:qFormat/>
    <w:rsid w:val="00d04c8a"/>
    <w:rPr/>
  </w:style>
  <w:style w:type="character" w:styleId="Style13" w:customStyle="1">
    <w:name w:val="Σύνδεσμος διαδικτύου"/>
    <w:basedOn w:val="DefaultParagraphFont"/>
    <w:uiPriority w:val="99"/>
    <w:semiHidden/>
    <w:rsid w:val="00d04c8a"/>
    <w:rPr>
      <w:color w:val="0000FF"/>
      <w:u w:val="single"/>
    </w:rPr>
  </w:style>
  <w:style w:type="character" w:styleId="Strong">
    <w:name w:val="Strong"/>
    <w:basedOn w:val="DefaultParagraphFont"/>
    <w:uiPriority w:val="22"/>
    <w:qFormat/>
    <w:rsid w:val="008373b1"/>
    <w:rPr>
      <w:b/>
      <w:bCs/>
    </w:rPr>
  </w:style>
  <w:style w:type="character" w:styleId="Style14">
    <w:name w:val="Έμφαση"/>
    <w:basedOn w:val="DefaultParagraphFont"/>
    <w:uiPriority w:val="20"/>
    <w:qFormat/>
    <w:rsid w:val="005b6bcf"/>
    <w:rPr>
      <w:i/>
      <w:iCs/>
    </w:rPr>
  </w:style>
  <w:style w:type="character" w:styleId="Gmailappleconvertedspace" w:customStyle="1">
    <w:name w:val="gmail-apple-converted-space"/>
    <w:basedOn w:val="DefaultParagraphFont"/>
    <w:uiPriority w:val="99"/>
    <w:qFormat/>
    <w:rsid w:val="00f243d8"/>
    <w:rPr/>
  </w:style>
  <w:style w:type="character" w:styleId="Char1" w:customStyle="1">
    <w:name w:val="Υποσέλιδο Char1"/>
    <w:basedOn w:val="DefaultParagraphFont"/>
    <w:link w:val="a7"/>
    <w:uiPriority w:val="99"/>
    <w:qFormat/>
    <w:rsid w:val="007f199d"/>
    <w:rPr>
      <w:rFonts w:ascii="Times New Roman" w:hAnsi="Times New Roman" w:eastAsia="Times New Roman"/>
      <w:sz w:val="24"/>
      <w:szCs w:val="24"/>
    </w:rPr>
  </w:style>
  <w:style w:type="character" w:styleId="Char2" w:customStyle="1">
    <w:name w:val="Υποσέλιδο Char"/>
    <w:basedOn w:val="DefaultParagraphFont"/>
    <w:uiPriority w:val="99"/>
    <w:qFormat/>
    <w:rsid w:val="007f199d"/>
    <w:rPr>
      <w:rFonts w:ascii="Times New Roman" w:hAnsi="Times New Roman" w:eastAsia="Times New Roman"/>
      <w:sz w:val="24"/>
      <w:szCs w:val="24"/>
    </w:rPr>
  </w:style>
  <w:style w:type="character" w:styleId="M3213098295088263371s2" w:customStyle="1">
    <w:name w:val="m_-3213098295088263371s2"/>
    <w:basedOn w:val="DefaultParagraphFont"/>
    <w:qFormat/>
    <w:rsid w:val="00840905"/>
    <w:rPr/>
  </w:style>
  <w:style w:type="character" w:styleId="M3213098295088263371bumpedfont15" w:customStyle="1">
    <w:name w:val="m_-3213098295088263371bumpedfont15"/>
    <w:basedOn w:val="DefaultParagraphFont"/>
    <w:qFormat/>
    <w:rsid w:val="00840905"/>
    <w:rPr/>
  </w:style>
  <w:style w:type="character" w:styleId="Hascaption" w:customStyle="1">
    <w:name w:val="hascaption"/>
    <w:basedOn w:val="DefaultParagraphFont"/>
    <w:qFormat/>
    <w:rsid w:val="005a7bd0"/>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Wingdings"/>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paragraph" w:styleId="Style15" w:customStyle="1">
    <w:name w:val="Επικεφαλίδα"/>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Ευρετήριο"/>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link w:val="Char"/>
    <w:uiPriority w:val="99"/>
    <w:semiHidden/>
    <w:qFormat/>
    <w:rsid w:val="006661ed"/>
    <w:pPr/>
    <w:rPr>
      <w:rFonts w:ascii="Tahoma" w:hAnsi="Tahoma" w:cs="Tahoma"/>
      <w:sz w:val="16"/>
      <w:szCs w:val="16"/>
    </w:rPr>
  </w:style>
  <w:style w:type="paragraph" w:styleId="ListParagraph">
    <w:name w:val="List Paragraph"/>
    <w:basedOn w:val="Normal"/>
    <w:uiPriority w:val="34"/>
    <w:qFormat/>
    <w:rsid w:val="00ff2d0f"/>
    <w:pPr>
      <w:ind w:left="720" w:hanging="0"/>
    </w:pPr>
    <w:rPr/>
  </w:style>
  <w:style w:type="paragraph" w:styleId="NormalWeb">
    <w:name w:val="Normal (Web)"/>
    <w:basedOn w:val="Normal"/>
    <w:uiPriority w:val="99"/>
    <w:qFormat/>
    <w:rsid w:val="004f0e9d"/>
    <w:pPr>
      <w:spacing w:beforeAutospacing="1" w:afterAutospacing="1"/>
    </w:pPr>
    <w:rPr/>
  </w:style>
  <w:style w:type="paragraph" w:styleId="Style20">
    <w:name w:val="Header"/>
    <w:basedOn w:val="Normal"/>
    <w:uiPriority w:val="99"/>
    <w:unhideWhenUsed/>
    <w:rsid w:val="007f199d"/>
    <w:pPr>
      <w:tabs>
        <w:tab w:val="center" w:pos="4153" w:leader="none"/>
        <w:tab w:val="right" w:pos="8306" w:leader="none"/>
      </w:tabs>
    </w:pPr>
    <w:rPr/>
  </w:style>
  <w:style w:type="paragraph" w:styleId="Style21">
    <w:name w:val="Footer"/>
    <w:basedOn w:val="Normal"/>
    <w:link w:val="Char1"/>
    <w:uiPriority w:val="99"/>
    <w:unhideWhenUsed/>
    <w:rsid w:val="007f199d"/>
    <w:pPr>
      <w:tabs>
        <w:tab w:val="center" w:pos="4153" w:leader="none"/>
        <w:tab w:val="right" w:pos="8306" w:leader="none"/>
      </w:tabs>
    </w:pPr>
    <w:rPr/>
  </w:style>
  <w:style w:type="paragraph" w:styleId="M3213098295088263371s4" w:customStyle="1">
    <w:name w:val="m_-3213098295088263371s4"/>
    <w:basedOn w:val="Normal"/>
    <w:qFormat/>
    <w:rsid w:val="00840905"/>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A756-13E8-427F-87C1-5CDCC453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LibreOffice/5.3.4.2$Windows_x86 LibreOffice_project/f82d347ccc0be322489bf7da61d7e4ad13fe2ff3</Application>
  <Pages>1</Pages>
  <Words>215</Words>
  <Characters>1343</Characters>
  <CharactersWithSpaces>1591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2017-11-21T13:50:00Z</dcterms:created>
  <dc:creator>user</dc:creator>
  <dc:description/>
  <dc:language>el-GR</dc:language>
  <cp:lastModifiedBy>Υπουργείο Τουρισμού</cp:lastModifiedBy>
  <cp:lastPrinted>2017-11-21T13:43:00Z</cp:lastPrinted>
  <dcterms:modified xsi:type="dcterms:W3CDTF">2017-11-21T13:50:00Z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