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A8" w:rsidRDefault="00A625A8" w:rsidP="00A625A8">
      <w:pPr>
        <w:jc w:val="center"/>
      </w:pPr>
      <w:r w:rsidRPr="00727D28">
        <w:rPr>
          <w:b/>
          <w:bCs/>
          <w:noProof/>
          <w:lang w:eastAsia="el-GR"/>
        </w:rPr>
        <w:drawing>
          <wp:inline distT="0" distB="0" distL="0" distR="0">
            <wp:extent cx="2784648" cy="648000"/>
            <wp:effectExtent l="0" t="0" r="0" b="0"/>
            <wp:docPr id="4" name="Εικόνα 4" descr="C:\Users\kliok\Desktop\TEL-logo-esee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iok\Desktop\TEL-logo-esee-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48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5A8" w:rsidRDefault="00A625A8" w:rsidP="00A625A8"/>
    <w:p w:rsidR="00C15F29" w:rsidRPr="0033772D" w:rsidRDefault="00A625A8" w:rsidP="00A625A8">
      <w:pPr>
        <w:tabs>
          <w:tab w:val="left" w:pos="4785"/>
        </w:tabs>
        <w:rPr>
          <w:rFonts w:ascii="Times New Roman" w:eastAsia="Calibri" w:hAnsi="Times New Roman" w:cs="Times New Roman"/>
          <w:sz w:val="26"/>
          <w:szCs w:val="26"/>
        </w:rPr>
      </w:pPr>
      <w:r>
        <w:tab/>
      </w:r>
      <w:r w:rsidRPr="0033772D">
        <w:rPr>
          <w:rFonts w:ascii="Times New Roman" w:eastAsia="Calibri" w:hAnsi="Times New Roman" w:cs="Times New Roman"/>
          <w:sz w:val="26"/>
          <w:szCs w:val="26"/>
        </w:rPr>
        <w:t>Αθήνα, Τετάρτη 16 Μαΐου 2018</w:t>
      </w:r>
    </w:p>
    <w:p w:rsidR="008817B5" w:rsidRPr="0033772D" w:rsidRDefault="008817B5" w:rsidP="008817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817B5" w:rsidRPr="0033772D" w:rsidRDefault="008817B5" w:rsidP="008817B5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3772D">
        <w:rPr>
          <w:rFonts w:ascii="Times New Roman" w:hAnsi="Times New Roman" w:cs="Times New Roman"/>
          <w:sz w:val="26"/>
          <w:szCs w:val="26"/>
          <w:u w:val="single"/>
        </w:rPr>
        <w:t>ΔΕΛΤΙΟ ΤΥΠΟΥ</w:t>
      </w:r>
    </w:p>
    <w:p w:rsidR="0033772D" w:rsidRDefault="0033772D" w:rsidP="003377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17B5" w:rsidRDefault="008817B5" w:rsidP="003377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72D">
        <w:rPr>
          <w:rFonts w:ascii="Times New Roman" w:hAnsi="Times New Roman" w:cs="Times New Roman"/>
          <w:b/>
          <w:sz w:val="26"/>
          <w:szCs w:val="26"/>
        </w:rPr>
        <w:t>«</w:t>
      </w:r>
      <w:r w:rsidR="0033772D" w:rsidRPr="0033772D">
        <w:rPr>
          <w:rFonts w:ascii="Times New Roman" w:hAnsi="Times New Roman" w:cs="Times New Roman"/>
          <w:b/>
          <w:sz w:val="26"/>
          <w:szCs w:val="26"/>
        </w:rPr>
        <w:t>Υποτονική η</w:t>
      </w:r>
      <w:r w:rsidRPr="0033772D">
        <w:rPr>
          <w:rFonts w:ascii="Times New Roman" w:hAnsi="Times New Roman" w:cs="Times New Roman"/>
          <w:b/>
          <w:sz w:val="26"/>
          <w:szCs w:val="26"/>
        </w:rPr>
        <w:t xml:space="preserve"> κ</w:t>
      </w:r>
      <w:r w:rsidR="006D6A42" w:rsidRPr="0033772D">
        <w:rPr>
          <w:rFonts w:ascii="Times New Roman" w:hAnsi="Times New Roman" w:cs="Times New Roman"/>
          <w:b/>
          <w:sz w:val="26"/>
          <w:szCs w:val="26"/>
        </w:rPr>
        <w:t>ίνηση της αγοράς στις ενδιάμεσες εαρινές εκπτώσεις</w:t>
      </w:r>
      <w:r w:rsidRPr="0033772D">
        <w:rPr>
          <w:rFonts w:ascii="Times New Roman" w:hAnsi="Times New Roman" w:cs="Times New Roman"/>
          <w:b/>
          <w:sz w:val="26"/>
          <w:szCs w:val="26"/>
        </w:rPr>
        <w:t xml:space="preserve"> 2018»</w:t>
      </w:r>
    </w:p>
    <w:p w:rsidR="0033772D" w:rsidRPr="0033772D" w:rsidRDefault="0033772D" w:rsidP="003377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B6B" w:rsidRPr="0033772D" w:rsidRDefault="008817B5" w:rsidP="003377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772D">
        <w:rPr>
          <w:rFonts w:ascii="Times New Roman" w:hAnsi="Times New Roman" w:cs="Times New Roman"/>
          <w:sz w:val="26"/>
          <w:szCs w:val="26"/>
        </w:rPr>
        <w:t>Το ΙΝΕΜΥ-ΕΣΕΕ πραγματοποίησε την περιοδική έρευνα για την κίνηση της αγοράς κατά τη</w:t>
      </w:r>
      <w:r w:rsidR="0033772D">
        <w:rPr>
          <w:rFonts w:ascii="Times New Roman" w:hAnsi="Times New Roman" w:cs="Times New Roman"/>
          <w:sz w:val="26"/>
          <w:szCs w:val="26"/>
        </w:rPr>
        <w:t>ν</w:t>
      </w:r>
      <w:r w:rsidRPr="0033772D">
        <w:rPr>
          <w:rFonts w:ascii="Times New Roman" w:hAnsi="Times New Roman" w:cs="Times New Roman"/>
          <w:sz w:val="26"/>
          <w:szCs w:val="26"/>
        </w:rPr>
        <w:t xml:space="preserve"> εαρινή εκπτωτική περίοδο του 2018. </w:t>
      </w:r>
      <w:r w:rsidR="0033772D" w:rsidRPr="0033772D">
        <w:rPr>
          <w:rFonts w:ascii="Times New Roman" w:hAnsi="Times New Roman" w:cs="Times New Roman"/>
          <w:sz w:val="26"/>
          <w:szCs w:val="26"/>
        </w:rPr>
        <w:t xml:space="preserve">Η έρευνα ήταν τηλεφωνική με χρήση δομημένου ερωτηματολογίου σε δείγμα 224 επιχειρήσεων, εφαρμόζοντας </w:t>
      </w:r>
      <w:proofErr w:type="spellStart"/>
      <w:r w:rsidR="0033772D" w:rsidRPr="0033772D">
        <w:rPr>
          <w:rFonts w:ascii="Times New Roman" w:hAnsi="Times New Roman" w:cs="Times New Roman"/>
          <w:sz w:val="26"/>
          <w:szCs w:val="26"/>
        </w:rPr>
        <w:t>στρωματοποιημένη</w:t>
      </w:r>
      <w:proofErr w:type="spellEnd"/>
      <w:r w:rsidR="0033772D" w:rsidRPr="0033772D">
        <w:rPr>
          <w:rFonts w:ascii="Times New Roman" w:hAnsi="Times New Roman" w:cs="Times New Roman"/>
          <w:sz w:val="26"/>
          <w:szCs w:val="26"/>
        </w:rPr>
        <w:t xml:space="preserve"> δειγματοληψία σε δύο στάδια, σε εμπορικές αγορές αστικών κέντρων της χώρας. </w:t>
      </w:r>
      <w:r w:rsidR="0033772D" w:rsidRPr="0033772D">
        <w:rPr>
          <w:rFonts w:ascii="Times New Roman" w:hAnsi="Times New Roman" w:cs="Times New Roman"/>
          <w:sz w:val="26"/>
          <w:szCs w:val="26"/>
        </w:rPr>
        <w:t>Τ</w:t>
      </w:r>
      <w:r w:rsidR="00E65B6B" w:rsidRPr="0033772D">
        <w:rPr>
          <w:rFonts w:ascii="Times New Roman" w:hAnsi="Times New Roman" w:cs="Times New Roman"/>
          <w:sz w:val="26"/>
          <w:szCs w:val="26"/>
        </w:rPr>
        <w:t xml:space="preserve">α αποτελέσματα της έρευνας συνοψίζονται στα εξής </w:t>
      </w:r>
      <w:r w:rsidR="00CE5161" w:rsidRPr="0033772D">
        <w:rPr>
          <w:rFonts w:ascii="Times New Roman" w:hAnsi="Times New Roman" w:cs="Times New Roman"/>
          <w:sz w:val="26"/>
          <w:szCs w:val="26"/>
        </w:rPr>
        <w:t>οκτώ</w:t>
      </w:r>
      <w:r w:rsidR="00E65B6B" w:rsidRPr="0033772D">
        <w:rPr>
          <w:rFonts w:ascii="Times New Roman" w:hAnsi="Times New Roman" w:cs="Times New Roman"/>
          <w:sz w:val="26"/>
          <w:szCs w:val="26"/>
        </w:rPr>
        <w:t xml:space="preserve"> σημεία:</w:t>
      </w:r>
    </w:p>
    <w:p w:rsidR="00B608E2" w:rsidRPr="0033772D" w:rsidRDefault="00E65B6B" w:rsidP="0033772D">
      <w:pPr>
        <w:pStyle w:val="a6"/>
        <w:numPr>
          <w:ilvl w:val="0"/>
          <w:numId w:val="5"/>
        </w:numPr>
        <w:spacing w:before="120" w:line="36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H πλειονότητα των επιχειρήσεων </w:t>
      </w:r>
      <w:r w:rsidR="006D6A42"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(80%) συμμετείχε στις ενδιάμεσες εαρινές εκπτώσεις. </w:t>
      </w:r>
    </w:p>
    <w:p w:rsidR="00E65B6B" w:rsidRPr="0033772D" w:rsidRDefault="00E65B6B" w:rsidP="006D6A42">
      <w:pPr>
        <w:pStyle w:val="a6"/>
        <w:numPr>
          <w:ilvl w:val="0"/>
          <w:numId w:val="5"/>
        </w:numPr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33772D">
        <w:rPr>
          <w:rFonts w:ascii="Times New Roman" w:hAnsi="Times New Roman" w:cs="Times New Roman"/>
          <w:sz w:val="26"/>
          <w:szCs w:val="26"/>
          <w:lang w:val="el-GR"/>
        </w:rPr>
        <w:t>Ως προς το ύψος του</w:t>
      </w:r>
      <w:r w:rsidR="00C22614"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ποσοστού έκπτωσης </w:t>
      </w:r>
      <w:r w:rsidRPr="0033772D">
        <w:rPr>
          <w:rFonts w:ascii="Times New Roman" w:hAnsi="Times New Roman" w:cs="Times New Roman"/>
          <w:sz w:val="26"/>
          <w:szCs w:val="26"/>
          <w:lang w:val="el-GR"/>
        </w:rPr>
        <w:t>6 στις 10 επιχειρήσεις πραγματοποίησε εκπτώσεις μεταξύ 11% και 40%,  το 32% μεταξύ 11 – 20% και το 28% μεταξύ 21 – 40%.</w:t>
      </w:r>
    </w:p>
    <w:p w:rsidR="00E65B6B" w:rsidRPr="0033772D" w:rsidRDefault="00E65B6B" w:rsidP="006D6A42">
      <w:pPr>
        <w:pStyle w:val="a6"/>
        <w:numPr>
          <w:ilvl w:val="0"/>
          <w:numId w:val="5"/>
        </w:numPr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Μία στις δύο επιχειρήσεις (53%) πραγματοποίησαν εκπτώσεις στο σύνολο των εμπορευμάτων και το 14% στο μεγαλύτερο μέρος των νέων παραλαβών. Διαφοροποίηση καταγράφεται στις άλλες κατηγορίες όπου το 17% έκανε εκπτώσεις σε συγκεκριμένη κατηγορία προϊόντων και το 13% σε εμπορεύματα </w:t>
      </w:r>
      <w:r w:rsidRPr="0033772D">
        <w:rPr>
          <w:rFonts w:ascii="Times New Roman" w:hAnsi="Times New Roman" w:cs="Times New Roman"/>
          <w:sz w:val="26"/>
          <w:szCs w:val="26"/>
          <w:lang w:val="en-US"/>
        </w:rPr>
        <w:t>stock</w:t>
      </w: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. </w:t>
      </w:r>
    </w:p>
    <w:p w:rsidR="00CE5161" w:rsidRDefault="0033772D" w:rsidP="006D6A42">
      <w:pPr>
        <w:pStyle w:val="a6"/>
        <w:numPr>
          <w:ilvl w:val="0"/>
          <w:numId w:val="5"/>
        </w:numPr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33772D">
        <w:rPr>
          <w:rFonts w:ascii="Times New Roman" w:hAnsi="Times New Roman" w:cs="Times New Roman"/>
          <w:sz w:val="26"/>
          <w:szCs w:val="26"/>
          <w:lang w:val="el-GR"/>
        </w:rPr>
        <w:t>Περισσότερες από μ</w:t>
      </w:r>
      <w:r w:rsidR="00E65B6B"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ία στις δύο επιχειρήσεις (56%) </w:t>
      </w:r>
      <w:r w:rsidR="00E827EB" w:rsidRPr="0033772D">
        <w:rPr>
          <w:rFonts w:ascii="Times New Roman" w:hAnsi="Times New Roman" w:cs="Times New Roman"/>
          <w:sz w:val="26"/>
          <w:szCs w:val="26"/>
          <w:lang w:val="el-GR"/>
        </w:rPr>
        <w:t>σημείωσαν</w:t>
      </w:r>
      <w:r w:rsidR="00E65B6B"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χαμηλότερες πωλ</w:t>
      </w:r>
      <w:r w:rsidR="00E827EB" w:rsidRPr="0033772D">
        <w:rPr>
          <w:rFonts w:ascii="Times New Roman" w:hAnsi="Times New Roman" w:cs="Times New Roman"/>
          <w:sz w:val="26"/>
          <w:szCs w:val="26"/>
          <w:lang w:val="el-GR"/>
        </w:rPr>
        <w:t>ήσεις σε σύγκριση με πέρυσι. Ωστόσο, το ποσοστό αυτό είναι χαμηλότερο από το αντίστοιχο περυσινό που είχε φτάσει στο 70%.</w:t>
      </w:r>
      <w:r w:rsidR="00CE5161"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E827EB" w:rsidRPr="0033772D">
        <w:rPr>
          <w:rFonts w:ascii="Times New Roman" w:hAnsi="Times New Roman" w:cs="Times New Roman"/>
          <w:sz w:val="26"/>
          <w:szCs w:val="26"/>
          <w:lang w:val="el-GR"/>
        </w:rPr>
        <w:t>Αναφορικά με την εικόνα των πωλήσεων με βάση το μέγεθος της επιχείρησης, φαίνεται ότι οι πιο μικρές επιχειρήσεις είχαν δυσμενέστερη εικόνα. Ενδεικτικά, τ</w:t>
      </w:r>
      <w:r>
        <w:rPr>
          <w:rFonts w:ascii="Times New Roman" w:hAnsi="Times New Roman" w:cs="Times New Roman"/>
          <w:sz w:val="26"/>
          <w:szCs w:val="26"/>
          <w:lang w:val="el-GR"/>
        </w:rPr>
        <w:t>ο</w:t>
      </w:r>
      <w:r w:rsidR="00E827EB"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70% των επιχειρήσεων με κύκλο εργασιών μικρότερο των 30.000 ευρώ σημείωσε πτώση πωλήσεων. </w:t>
      </w:r>
    </w:p>
    <w:p w:rsidR="00E827EB" w:rsidRPr="0033772D" w:rsidRDefault="00E827EB" w:rsidP="006D6A42">
      <w:pPr>
        <w:pStyle w:val="a6"/>
        <w:numPr>
          <w:ilvl w:val="0"/>
          <w:numId w:val="5"/>
        </w:numPr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33772D">
        <w:rPr>
          <w:rFonts w:ascii="Times New Roman" w:hAnsi="Times New Roman" w:cs="Times New Roman"/>
          <w:sz w:val="26"/>
          <w:szCs w:val="26"/>
          <w:lang w:val="el-GR"/>
        </w:rPr>
        <w:t>Η πλειονότητα των επιχειρήσεων (53%) θεωρεί ότι οι ενδιάμεσες εαρινές εκπτώσεις δεν επηρεάζουν τον συνολικό τζίρο της ανοιξιάτικης – καλοκαιρινής περιόδου</w:t>
      </w:r>
      <w:r w:rsidR="0033772D">
        <w:rPr>
          <w:rFonts w:ascii="Times New Roman" w:hAnsi="Times New Roman" w:cs="Times New Roman"/>
          <w:sz w:val="26"/>
          <w:szCs w:val="26"/>
          <w:lang w:val="el-GR"/>
        </w:rPr>
        <w:t>,</w:t>
      </w: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ενώ ποσοστό  29% κρίνει ότι το συγκεκριμένο μέτρο έχει αρνητικό αντίκτυπο και  15%  θετικό. </w:t>
      </w:r>
    </w:p>
    <w:p w:rsidR="00CE5161" w:rsidRPr="0033772D" w:rsidRDefault="00E827EB" w:rsidP="006D6A42">
      <w:pPr>
        <w:pStyle w:val="a6"/>
        <w:numPr>
          <w:ilvl w:val="0"/>
          <w:numId w:val="5"/>
        </w:numPr>
        <w:spacing w:before="80" w:line="360" w:lineRule="atLeast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33772D">
        <w:rPr>
          <w:rFonts w:ascii="Times New Roman" w:hAnsi="Times New Roman" w:cs="Times New Roman"/>
          <w:sz w:val="26"/>
          <w:szCs w:val="26"/>
          <w:lang w:val="el-GR"/>
        </w:rPr>
        <w:lastRenderedPageBreak/>
        <w:t>Παρά το γεγονός την υψηλής συμμετοχή</w:t>
      </w:r>
      <w:r w:rsidR="00CE5161" w:rsidRPr="0033772D">
        <w:rPr>
          <w:rFonts w:ascii="Times New Roman" w:hAnsi="Times New Roman" w:cs="Times New Roman"/>
          <w:sz w:val="26"/>
          <w:szCs w:val="26"/>
          <w:lang w:val="el-GR"/>
        </w:rPr>
        <w:t>ς</w:t>
      </w: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των επιχειρήσεων στις ενδιάμεσες εαρινές εκπτώσεις, οι επιχειρηματίες θεωρούν ότι</w:t>
      </w:r>
      <w:r w:rsidR="0033772D">
        <w:rPr>
          <w:rFonts w:ascii="Times New Roman" w:hAnsi="Times New Roman" w:cs="Times New Roman"/>
          <w:sz w:val="26"/>
          <w:szCs w:val="26"/>
          <w:lang w:val="el-GR"/>
        </w:rPr>
        <w:t xml:space="preserve"> ο</w:t>
      </w: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εν λόγω θεσμός δεν είναι θετικός στην επιχειρηματική δράση. </w:t>
      </w:r>
    </w:p>
    <w:p w:rsidR="00CE5161" w:rsidRPr="0033772D" w:rsidRDefault="00CE5161" w:rsidP="006D6A42">
      <w:pPr>
        <w:pStyle w:val="a6"/>
        <w:numPr>
          <w:ilvl w:val="0"/>
          <w:numId w:val="5"/>
        </w:numPr>
        <w:spacing w:before="80" w:line="360" w:lineRule="atLeast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33772D">
        <w:rPr>
          <w:rFonts w:ascii="Times New Roman" w:hAnsi="Times New Roman" w:cs="Times New Roman"/>
          <w:sz w:val="26"/>
          <w:szCs w:val="26"/>
          <w:lang w:val="el-GR"/>
        </w:rPr>
        <w:t>Όσον αφορά τη λειτουργία των καταστημάτων την πρώτη Κυριακή της εαρινής εκπτωτικής περιόδου επιβεβαιώνεται η κυρίαρχη τάση που καταγράφεται σε όλες τις έρευνες του ΙΝΕΜΥ για τη λειτουργία των επιχειρήσεων τις Κυριακές. Συγκεκριμένα</w:t>
      </w:r>
      <w:r w:rsidR="0033772D">
        <w:rPr>
          <w:rFonts w:ascii="Times New Roman" w:hAnsi="Times New Roman" w:cs="Times New Roman"/>
          <w:sz w:val="26"/>
          <w:szCs w:val="26"/>
          <w:lang w:val="el-GR"/>
        </w:rPr>
        <w:t>,</w:t>
      </w: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η πλειονότητα αναφέρει ότι η λειτουργία της Κυριακής δεν επηρεάζει τον συνολικό τζίρο των ενδιάμεσων εαρινών εκπτώσεων (46%) και το 37% δηλώνει ότι έχει αρνητικό αντίκτυπο. Επίσης, η ανάγκη απασχόλησης προσωπικού την Κυριακή καλύπτεται, είτε προσωπικά από τον επιχειρηματία, είτε με επέκταση του ωραρίου των ήδη υπαρχόντων υπαλλήλων χωρίς</w:t>
      </w:r>
      <w:r w:rsidR="0033772D">
        <w:rPr>
          <w:rFonts w:ascii="Times New Roman" w:hAnsi="Times New Roman" w:cs="Times New Roman"/>
          <w:sz w:val="26"/>
          <w:szCs w:val="26"/>
          <w:lang w:val="el-GR"/>
        </w:rPr>
        <w:t>,</w:t>
      </w: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δηλαδή</w:t>
      </w:r>
      <w:r w:rsidR="0033772D">
        <w:rPr>
          <w:rFonts w:ascii="Times New Roman" w:hAnsi="Times New Roman" w:cs="Times New Roman"/>
          <w:sz w:val="26"/>
          <w:szCs w:val="26"/>
          <w:lang w:val="el-GR"/>
        </w:rPr>
        <w:t>,</w:t>
      </w: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να πραγματοποιηθούν επιπλέον προσλήψεις. Τέλος, τρεις στις τέσσερις επιχειρήσεις φαίνεται να καταγράφουν αύξηση του λειτουργικού κόστους από τη λειτουργία των καταστημάτων τις Κυριακές. </w:t>
      </w:r>
    </w:p>
    <w:p w:rsidR="00CE5161" w:rsidRPr="0033772D" w:rsidRDefault="00CE5161" w:rsidP="006D6A42">
      <w:pPr>
        <w:pStyle w:val="a6"/>
        <w:numPr>
          <w:ilvl w:val="0"/>
          <w:numId w:val="5"/>
        </w:numPr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Σε συνέχεια των προηγούμενων τακτικών ερευνών του Ινστιτούτου που πραγματοποιήθηκαν στις συμβεβλημένες εμπορικές </w:t>
      </w:r>
      <w:r w:rsidRPr="0033772D">
        <w:rPr>
          <w:rFonts w:ascii="Times New Roman" w:hAnsi="Times New Roman" w:cs="Times New Roman"/>
          <w:sz w:val="26"/>
          <w:szCs w:val="26"/>
        </w:rPr>
        <w:t> </w:t>
      </w: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επιχειρήσεις του </w:t>
      </w:r>
      <w:r w:rsidRPr="0033772D">
        <w:rPr>
          <w:rFonts w:ascii="Times New Roman" w:hAnsi="Times New Roman" w:cs="Times New Roman"/>
          <w:sz w:val="26"/>
          <w:szCs w:val="26"/>
        </w:rPr>
        <w:t>Open</w:t>
      </w:r>
      <w:r w:rsidR="00E123E6"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Pr="0033772D">
        <w:rPr>
          <w:rFonts w:ascii="Times New Roman" w:hAnsi="Times New Roman" w:cs="Times New Roman"/>
          <w:sz w:val="26"/>
          <w:szCs w:val="26"/>
        </w:rPr>
        <w:t>Mall</w:t>
      </w:r>
      <w:r w:rsidRPr="0033772D">
        <w:rPr>
          <w:rFonts w:ascii="Times New Roman" w:hAnsi="Times New Roman" w:cs="Times New Roman"/>
          <w:sz w:val="26"/>
          <w:szCs w:val="26"/>
          <w:lang w:val="el-GR"/>
        </w:rPr>
        <w:t xml:space="preserve"> του Πειραιά, της Θεσσαλονίκης, της Πάτρας και της Αλεξανδρούπολης διαπιστώθηκε  ότι το ποσοστό των εκπτώσεων στα καταστήματα των ΑΚΕ δεν διαφοροποιείται σημαντικά από το γενικό πληθυσμό. Η πλειονότητα των επιχειρήσεων πραγματοποίησε εκπτώσεις της τάξης μεταξύ 11% και 40%, ενώ το ποσοστό συμμετοχής διαμορφώνεται στο 80%.</w:t>
      </w:r>
    </w:p>
    <w:p w:rsidR="00CE5161" w:rsidRPr="0033772D" w:rsidRDefault="00CE5161" w:rsidP="008817B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5161" w:rsidRPr="0033772D" w:rsidRDefault="00CE5161" w:rsidP="008817B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5161" w:rsidRPr="0033772D" w:rsidRDefault="00CE5161" w:rsidP="008817B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5161" w:rsidRPr="0033772D" w:rsidRDefault="00CE5161" w:rsidP="008817B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5161" w:rsidRDefault="00CE5161" w:rsidP="008817B5">
      <w:pPr>
        <w:rPr>
          <w:b/>
          <w:sz w:val="26"/>
          <w:szCs w:val="26"/>
          <w:u w:val="single"/>
        </w:rPr>
      </w:pPr>
    </w:p>
    <w:p w:rsidR="00CE5161" w:rsidRDefault="00CE5161" w:rsidP="008817B5">
      <w:pPr>
        <w:rPr>
          <w:b/>
          <w:sz w:val="26"/>
          <w:szCs w:val="26"/>
          <w:u w:val="single"/>
        </w:rPr>
      </w:pPr>
    </w:p>
    <w:p w:rsidR="00CE5161" w:rsidRDefault="00CE5161" w:rsidP="008817B5">
      <w:pPr>
        <w:rPr>
          <w:b/>
          <w:sz w:val="26"/>
          <w:szCs w:val="26"/>
          <w:u w:val="single"/>
        </w:rPr>
      </w:pPr>
    </w:p>
    <w:p w:rsidR="00CE5161" w:rsidRDefault="00CE5161" w:rsidP="008817B5">
      <w:pPr>
        <w:rPr>
          <w:b/>
          <w:sz w:val="26"/>
          <w:szCs w:val="26"/>
          <w:u w:val="single"/>
        </w:rPr>
      </w:pPr>
    </w:p>
    <w:p w:rsidR="00773A8D" w:rsidRDefault="00773A8D" w:rsidP="008817B5">
      <w:pPr>
        <w:rPr>
          <w:b/>
          <w:sz w:val="26"/>
          <w:szCs w:val="26"/>
          <w:u w:val="single"/>
        </w:rPr>
      </w:pPr>
    </w:p>
    <w:p w:rsidR="00773A8D" w:rsidRDefault="00773A8D" w:rsidP="008817B5">
      <w:pPr>
        <w:rPr>
          <w:b/>
          <w:sz w:val="26"/>
          <w:szCs w:val="26"/>
          <w:u w:val="single"/>
        </w:rPr>
      </w:pPr>
    </w:p>
    <w:p w:rsidR="00773A8D" w:rsidRDefault="00773A8D" w:rsidP="008817B5">
      <w:pPr>
        <w:rPr>
          <w:b/>
          <w:sz w:val="26"/>
          <w:szCs w:val="26"/>
          <w:u w:val="single"/>
        </w:rPr>
      </w:pPr>
      <w:bookmarkStart w:id="0" w:name="_GoBack"/>
      <w:bookmarkEnd w:id="0"/>
    </w:p>
    <w:p w:rsidR="008817B5" w:rsidRDefault="00CE5161" w:rsidP="00CE516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Διαγράμματα </w:t>
      </w:r>
      <w:r w:rsidR="008817B5" w:rsidRPr="00B608E2">
        <w:rPr>
          <w:b/>
          <w:sz w:val="26"/>
          <w:szCs w:val="26"/>
          <w:u w:val="single"/>
        </w:rPr>
        <w:t xml:space="preserve"> της έρε</w:t>
      </w:r>
      <w:r w:rsidR="00AC01AA">
        <w:rPr>
          <w:b/>
          <w:sz w:val="26"/>
          <w:szCs w:val="26"/>
          <w:u w:val="single"/>
        </w:rPr>
        <w:t>υνας</w:t>
      </w:r>
      <w:r w:rsidR="006D6A42">
        <w:rPr>
          <w:b/>
          <w:sz w:val="26"/>
          <w:szCs w:val="26"/>
          <w:u w:val="single"/>
        </w:rPr>
        <w:t xml:space="preserve"> </w:t>
      </w:r>
    </w:p>
    <w:p w:rsidR="00CE5161" w:rsidRPr="00B608E2" w:rsidRDefault="00CE5161" w:rsidP="00CE5161">
      <w:pPr>
        <w:jc w:val="center"/>
        <w:rPr>
          <w:b/>
          <w:sz w:val="26"/>
          <w:szCs w:val="26"/>
          <w:u w:val="single"/>
        </w:rPr>
      </w:pPr>
    </w:p>
    <w:p w:rsidR="008817B5" w:rsidRPr="00B608E2" w:rsidRDefault="008817B5" w:rsidP="008817B5">
      <w:pPr>
        <w:pStyle w:val="a5"/>
        <w:spacing w:before="80" w:line="360" w:lineRule="atLeast"/>
        <w:jc w:val="center"/>
        <w:rPr>
          <w:rFonts w:asciiTheme="minorHAnsi" w:hAnsiTheme="minorHAnsi"/>
          <w:sz w:val="24"/>
          <w:szCs w:val="24"/>
        </w:rPr>
      </w:pPr>
      <w:r w:rsidRPr="00B608E2">
        <w:rPr>
          <w:rFonts w:asciiTheme="minorHAnsi" w:hAnsiTheme="minorHAnsi"/>
          <w:noProof/>
          <w:sz w:val="24"/>
          <w:szCs w:val="24"/>
          <w:lang w:eastAsia="el-GR"/>
        </w:rPr>
        <w:drawing>
          <wp:inline distT="0" distB="0" distL="0" distR="0">
            <wp:extent cx="4876800" cy="3286124"/>
            <wp:effectExtent l="0" t="0" r="0" b="10160"/>
            <wp:docPr id="23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17B5" w:rsidRPr="00B608E2" w:rsidRDefault="008817B5" w:rsidP="008817B5">
      <w:pPr>
        <w:pStyle w:val="a5"/>
        <w:spacing w:before="80" w:line="360" w:lineRule="atLeast"/>
        <w:jc w:val="both"/>
        <w:rPr>
          <w:rFonts w:asciiTheme="minorHAnsi" w:hAnsiTheme="minorHAnsi"/>
          <w:sz w:val="24"/>
          <w:szCs w:val="24"/>
        </w:rPr>
      </w:pPr>
    </w:p>
    <w:p w:rsidR="008817B5" w:rsidRPr="00B608E2" w:rsidRDefault="008817B5" w:rsidP="008817B5">
      <w:pPr>
        <w:pStyle w:val="a5"/>
        <w:spacing w:before="80" w:line="360" w:lineRule="atLeast"/>
        <w:jc w:val="both"/>
        <w:rPr>
          <w:rFonts w:asciiTheme="minorHAnsi" w:hAnsiTheme="minorHAnsi"/>
          <w:sz w:val="24"/>
          <w:szCs w:val="24"/>
        </w:rPr>
      </w:pPr>
    </w:p>
    <w:p w:rsidR="008817B5" w:rsidRPr="00B608E2" w:rsidRDefault="008817B5" w:rsidP="008817B5">
      <w:pPr>
        <w:pStyle w:val="a5"/>
        <w:spacing w:before="80" w:line="360" w:lineRule="atLeast"/>
        <w:jc w:val="center"/>
        <w:rPr>
          <w:rFonts w:asciiTheme="minorHAnsi" w:hAnsiTheme="minorHAnsi"/>
          <w:sz w:val="24"/>
          <w:szCs w:val="24"/>
          <w:lang w:val="en-GB"/>
        </w:rPr>
      </w:pPr>
      <w:r w:rsidRPr="00B608E2">
        <w:rPr>
          <w:rFonts w:asciiTheme="minorHAnsi" w:hAnsiTheme="minorHAnsi"/>
          <w:noProof/>
          <w:sz w:val="24"/>
          <w:szCs w:val="24"/>
          <w:lang w:eastAsia="el-GR"/>
        </w:rPr>
        <w:drawing>
          <wp:inline distT="0" distB="0" distL="0" distR="0">
            <wp:extent cx="5274310" cy="2798878"/>
            <wp:effectExtent l="0" t="0" r="2540" b="1905"/>
            <wp:docPr id="24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17B5" w:rsidRPr="00B608E2" w:rsidRDefault="008817B5" w:rsidP="008817B5">
      <w:pPr>
        <w:pStyle w:val="a5"/>
        <w:spacing w:before="80" w:line="360" w:lineRule="atLeast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8817B5" w:rsidRPr="00B608E2" w:rsidRDefault="008817B5" w:rsidP="008817B5">
      <w:pPr>
        <w:pStyle w:val="a5"/>
        <w:spacing w:before="80" w:line="360" w:lineRule="atLeast"/>
        <w:jc w:val="both"/>
        <w:rPr>
          <w:rFonts w:asciiTheme="minorHAnsi" w:hAnsiTheme="minorHAnsi"/>
          <w:b/>
          <w:i/>
          <w:sz w:val="24"/>
          <w:szCs w:val="24"/>
          <w:u w:val="single"/>
          <w:lang w:val="en-GB"/>
        </w:rPr>
      </w:pPr>
    </w:p>
    <w:p w:rsidR="008817B5" w:rsidRPr="00B608E2" w:rsidRDefault="008817B5" w:rsidP="008817B5">
      <w:pPr>
        <w:pStyle w:val="a5"/>
        <w:spacing w:before="80" w:line="360" w:lineRule="atLeast"/>
        <w:jc w:val="both"/>
        <w:rPr>
          <w:rFonts w:asciiTheme="minorHAnsi" w:hAnsiTheme="minorHAnsi"/>
          <w:sz w:val="24"/>
          <w:szCs w:val="24"/>
        </w:rPr>
      </w:pPr>
    </w:p>
    <w:p w:rsidR="008817B5" w:rsidRPr="00B608E2" w:rsidRDefault="008817B5" w:rsidP="008817B5">
      <w:pPr>
        <w:pStyle w:val="a5"/>
        <w:spacing w:before="80" w:line="360" w:lineRule="atLeast"/>
        <w:jc w:val="center"/>
        <w:rPr>
          <w:rFonts w:asciiTheme="minorHAnsi" w:hAnsiTheme="minorHAnsi"/>
          <w:sz w:val="24"/>
          <w:szCs w:val="24"/>
          <w:lang w:val="en-GB"/>
        </w:rPr>
      </w:pPr>
      <w:r w:rsidRPr="00B608E2">
        <w:rPr>
          <w:rFonts w:asciiTheme="minorHAnsi" w:hAnsiTheme="minorHAnsi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933950" cy="3038475"/>
            <wp:effectExtent l="0" t="0" r="0" b="9525"/>
            <wp:docPr id="25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17B5" w:rsidRPr="00B608E2" w:rsidRDefault="008817B5" w:rsidP="008817B5">
      <w:pPr>
        <w:pStyle w:val="a5"/>
        <w:spacing w:before="80" w:line="360" w:lineRule="atLeast"/>
        <w:jc w:val="both"/>
        <w:rPr>
          <w:rFonts w:asciiTheme="minorHAnsi" w:hAnsiTheme="minorHAnsi"/>
          <w:sz w:val="24"/>
          <w:szCs w:val="24"/>
        </w:rPr>
      </w:pPr>
    </w:p>
    <w:p w:rsidR="008817B5" w:rsidRPr="00B608E2" w:rsidRDefault="008817B5" w:rsidP="008817B5">
      <w:pPr>
        <w:pStyle w:val="a5"/>
        <w:spacing w:before="80" w:line="360" w:lineRule="atLeast"/>
        <w:jc w:val="center"/>
        <w:rPr>
          <w:rFonts w:asciiTheme="minorHAnsi" w:hAnsiTheme="minorHAnsi"/>
          <w:sz w:val="24"/>
          <w:szCs w:val="24"/>
        </w:rPr>
      </w:pPr>
      <w:r w:rsidRPr="00B608E2">
        <w:rPr>
          <w:rFonts w:asciiTheme="minorHAnsi" w:hAnsiTheme="minorHAnsi"/>
          <w:noProof/>
          <w:sz w:val="24"/>
          <w:szCs w:val="24"/>
          <w:lang w:eastAsia="el-GR"/>
        </w:rPr>
        <w:drawing>
          <wp:inline distT="0" distB="0" distL="0" distR="0">
            <wp:extent cx="4981575" cy="2571750"/>
            <wp:effectExtent l="0" t="0" r="9525" b="0"/>
            <wp:docPr id="26" name="Γράφημα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817B5" w:rsidRPr="00B608E2" w:rsidRDefault="008817B5" w:rsidP="008817B5">
      <w:pPr>
        <w:pStyle w:val="a5"/>
        <w:spacing w:before="80" w:line="360" w:lineRule="atLeast"/>
        <w:jc w:val="center"/>
        <w:rPr>
          <w:rFonts w:asciiTheme="minorHAnsi" w:hAnsiTheme="minorHAnsi"/>
          <w:sz w:val="24"/>
          <w:szCs w:val="24"/>
        </w:rPr>
      </w:pPr>
    </w:p>
    <w:p w:rsidR="008817B5" w:rsidRPr="00B608E2" w:rsidRDefault="008817B5" w:rsidP="008817B5">
      <w:pPr>
        <w:pStyle w:val="a5"/>
        <w:spacing w:before="80" w:line="360" w:lineRule="atLeast"/>
        <w:jc w:val="both"/>
        <w:rPr>
          <w:rFonts w:asciiTheme="minorHAnsi" w:hAnsiTheme="minorHAnsi"/>
          <w:sz w:val="24"/>
          <w:szCs w:val="24"/>
        </w:rPr>
      </w:pPr>
    </w:p>
    <w:p w:rsidR="008817B5" w:rsidRPr="00B608E2" w:rsidRDefault="008817B5" w:rsidP="008817B5">
      <w:pPr>
        <w:pStyle w:val="a5"/>
        <w:spacing w:line="360" w:lineRule="atLeast"/>
        <w:jc w:val="both"/>
        <w:rPr>
          <w:rFonts w:asciiTheme="minorHAnsi" w:hAnsiTheme="minorHAnsi"/>
          <w:sz w:val="24"/>
          <w:szCs w:val="24"/>
        </w:rPr>
      </w:pPr>
    </w:p>
    <w:p w:rsidR="008817B5" w:rsidRPr="00B608E2" w:rsidRDefault="008817B5" w:rsidP="008817B5">
      <w:pPr>
        <w:pStyle w:val="a5"/>
        <w:spacing w:line="360" w:lineRule="atLeast"/>
        <w:jc w:val="center"/>
        <w:rPr>
          <w:rFonts w:asciiTheme="minorHAnsi" w:hAnsiTheme="minorHAnsi"/>
          <w:sz w:val="24"/>
          <w:szCs w:val="24"/>
          <w:lang w:val="en-GB"/>
        </w:rPr>
      </w:pPr>
      <w:r w:rsidRPr="00B608E2">
        <w:rPr>
          <w:rFonts w:asciiTheme="minorHAnsi" w:hAnsiTheme="minorHAnsi"/>
          <w:noProof/>
          <w:sz w:val="24"/>
          <w:szCs w:val="24"/>
          <w:lang w:eastAsia="el-GR"/>
        </w:rPr>
        <w:drawing>
          <wp:inline distT="0" distB="0" distL="0" distR="0">
            <wp:extent cx="5076190" cy="2762250"/>
            <wp:effectExtent l="0" t="0" r="10160" b="0"/>
            <wp:docPr id="27" name="Γράφημα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17B5" w:rsidRPr="00B608E2" w:rsidRDefault="008817B5" w:rsidP="008817B5">
      <w:pPr>
        <w:pStyle w:val="a5"/>
        <w:spacing w:line="360" w:lineRule="atLeast"/>
        <w:jc w:val="both"/>
        <w:rPr>
          <w:rFonts w:asciiTheme="minorHAnsi" w:hAnsiTheme="minorHAnsi"/>
          <w:sz w:val="24"/>
          <w:szCs w:val="24"/>
        </w:rPr>
      </w:pPr>
    </w:p>
    <w:p w:rsidR="008817B5" w:rsidRPr="00B608E2" w:rsidRDefault="008817B5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8817B5" w:rsidRPr="00B608E2" w:rsidRDefault="008817B5" w:rsidP="008817B5">
      <w:pPr>
        <w:pStyle w:val="a5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EB1094" w:rsidRPr="00B608E2" w:rsidRDefault="00EB1094" w:rsidP="00EB1094">
      <w:pPr>
        <w:pStyle w:val="Default"/>
        <w:spacing w:after="200"/>
        <w:jc w:val="center"/>
        <w:rPr>
          <w:rFonts w:asciiTheme="minorHAnsi" w:hAnsiTheme="minorHAnsi"/>
          <w:b/>
          <w:bCs/>
          <w:sz w:val="26"/>
          <w:szCs w:val="26"/>
        </w:rPr>
      </w:pPr>
      <w:r w:rsidRPr="00B608E2">
        <w:rPr>
          <w:rFonts w:asciiTheme="minorHAnsi" w:hAnsiTheme="minorHAnsi"/>
          <w:b/>
          <w:bCs/>
          <w:sz w:val="26"/>
          <w:szCs w:val="26"/>
        </w:rPr>
        <w:t>Οι Εμπορικοί Σύλλογοι για την κίνηση της αγοράς κατά την ενδιάμεση εαρινή εκπτωτική περίοδο  Μαΐου 2018</w:t>
      </w:r>
    </w:p>
    <w:p w:rsidR="00EB1094" w:rsidRPr="00B608E2" w:rsidRDefault="00EB1094" w:rsidP="00EB1094">
      <w:pPr>
        <w:spacing w:after="200" w:line="276" w:lineRule="auto"/>
        <w:jc w:val="both"/>
        <w:rPr>
          <w:rFonts w:eastAsia="Times New Roman" w:cs="Times New Roman"/>
          <w:bCs/>
          <w:color w:val="000000"/>
          <w:sz w:val="26"/>
          <w:szCs w:val="26"/>
          <w:lang w:eastAsia="el-GR"/>
        </w:rPr>
      </w:pPr>
    </w:p>
    <w:p w:rsidR="00EB1094" w:rsidRPr="00B608E2" w:rsidRDefault="00EB1094" w:rsidP="00EB1094">
      <w:pPr>
        <w:spacing w:after="200" w:line="276" w:lineRule="auto"/>
        <w:jc w:val="both"/>
        <w:rPr>
          <w:rFonts w:eastAsia="Times New Roman" w:cs="Times New Roman"/>
          <w:bCs/>
          <w:color w:val="000000"/>
          <w:lang w:eastAsia="el-GR"/>
        </w:rPr>
      </w:pPr>
      <w:r w:rsidRPr="00B608E2">
        <w:rPr>
          <w:rFonts w:eastAsia="Times New Roman" w:cs="Times New Roman"/>
          <w:bCs/>
          <w:color w:val="000000"/>
          <w:lang w:eastAsia="el-GR"/>
        </w:rPr>
        <w:t>Στον παρακάτω πίνακα παρουσιάζονται οι εκτιμήσεις των Εμπορικών Συλλόγων σε 67 περιοχές της χώρας</w:t>
      </w:r>
      <w:r w:rsidR="001E2A83" w:rsidRPr="00B608E2">
        <w:rPr>
          <w:rStyle w:val="a4"/>
          <w:rFonts w:eastAsia="Times New Roman" w:cs="Times New Roman"/>
          <w:bCs/>
          <w:color w:val="000000"/>
          <w:lang w:eastAsia="el-GR"/>
        </w:rPr>
        <w:footnoteReference w:id="1"/>
      </w:r>
      <w:r w:rsidRPr="00B608E2">
        <w:rPr>
          <w:rFonts w:eastAsia="Times New Roman" w:cs="Times New Roman"/>
          <w:bCs/>
          <w:color w:val="000000"/>
          <w:lang w:eastAsia="el-GR"/>
        </w:rPr>
        <w:t xml:space="preserve">, </w:t>
      </w:r>
      <w:r w:rsidR="00F56EF8" w:rsidRPr="00B608E2">
        <w:rPr>
          <w:rFonts w:eastAsia="Times New Roman" w:cs="Times New Roman"/>
          <w:bCs/>
          <w:color w:val="000000"/>
          <w:lang w:eastAsia="el-GR"/>
        </w:rPr>
        <w:t xml:space="preserve">σχετικά με </w:t>
      </w:r>
      <w:r w:rsidRPr="00B608E2">
        <w:rPr>
          <w:rFonts w:eastAsia="Times New Roman" w:cs="Times New Roman"/>
          <w:bCs/>
          <w:color w:val="000000"/>
          <w:lang w:eastAsia="el-GR"/>
        </w:rPr>
        <w:t>την κίνηση των πωλήσεων</w:t>
      </w:r>
      <w:r w:rsidR="00F56EF8" w:rsidRPr="00B608E2">
        <w:rPr>
          <w:rFonts w:eastAsia="Times New Roman" w:cs="Times New Roman"/>
          <w:bCs/>
          <w:color w:val="000000"/>
          <w:lang w:eastAsia="el-GR"/>
        </w:rPr>
        <w:t xml:space="preserve">, </w:t>
      </w:r>
      <w:r w:rsidRPr="00B608E2">
        <w:rPr>
          <w:rFonts w:eastAsia="Times New Roman" w:cs="Times New Roman"/>
          <w:bCs/>
          <w:color w:val="000000"/>
          <w:lang w:eastAsia="el-GR"/>
        </w:rPr>
        <w:t xml:space="preserve">κατά τη διάρκεια της ενδιάμεσης εαρινής εκπτωτικής περιόδου του Μαΐου 2018, σε σύγκριση με την αντίστοιχη περίοδο του 2017. </w:t>
      </w:r>
    </w:p>
    <w:p w:rsidR="004858AB" w:rsidRPr="00B608E2" w:rsidRDefault="00082FEC" w:rsidP="00EB1094">
      <w:pPr>
        <w:spacing w:after="200" w:line="276" w:lineRule="auto"/>
        <w:jc w:val="both"/>
        <w:rPr>
          <w:rFonts w:eastAsia="Times New Roman" w:cs="Times New Roman"/>
          <w:bCs/>
          <w:color w:val="000000"/>
          <w:lang w:eastAsia="el-GR"/>
        </w:rPr>
      </w:pPr>
      <w:r w:rsidRPr="00B608E2">
        <w:rPr>
          <w:rFonts w:eastAsia="Times New Roman" w:cs="Times New Roman"/>
          <w:bCs/>
          <w:color w:val="000000"/>
          <w:lang w:eastAsia="el-GR"/>
        </w:rPr>
        <w:t xml:space="preserve">Από τις εκτιμήσεις των Εκπροσώπων των Εμπορικών Συλλόγων </w:t>
      </w:r>
      <w:r w:rsidR="005C24B2" w:rsidRPr="00B608E2">
        <w:rPr>
          <w:rFonts w:eastAsia="Times New Roman" w:cs="Times New Roman"/>
          <w:bCs/>
          <w:color w:val="000000"/>
          <w:lang w:eastAsia="el-GR"/>
        </w:rPr>
        <w:t xml:space="preserve">ενός μεγάλου μέρους των </w:t>
      </w:r>
      <w:r w:rsidRPr="00B608E2">
        <w:rPr>
          <w:rFonts w:eastAsia="Times New Roman" w:cs="Times New Roman"/>
          <w:bCs/>
          <w:color w:val="000000"/>
          <w:lang w:eastAsia="el-GR"/>
        </w:rPr>
        <w:t xml:space="preserve">εμπορικών αγορών της χώρας, φαίνεται ότι η αγορά κινήθηκε </w:t>
      </w:r>
      <w:r w:rsidR="006B0435" w:rsidRPr="00B608E2">
        <w:rPr>
          <w:rFonts w:eastAsia="Times New Roman" w:cs="Times New Roman"/>
          <w:bCs/>
          <w:color w:val="000000"/>
          <w:lang w:eastAsia="el-GR"/>
        </w:rPr>
        <w:t xml:space="preserve">κυρίως </w:t>
      </w:r>
      <w:r w:rsidR="004710F5" w:rsidRPr="00B608E2">
        <w:rPr>
          <w:rFonts w:eastAsia="Times New Roman" w:cs="Times New Roman"/>
          <w:bCs/>
          <w:color w:val="000000"/>
          <w:lang w:eastAsia="el-GR"/>
        </w:rPr>
        <w:t xml:space="preserve">πτωτικά. Συγκεκριμένα,  </w:t>
      </w:r>
      <w:r w:rsidR="00F0338E" w:rsidRPr="00B608E2">
        <w:rPr>
          <w:rFonts w:eastAsia="Times New Roman" w:cs="Times New Roman"/>
          <w:bCs/>
          <w:color w:val="000000"/>
          <w:lang w:eastAsia="el-GR"/>
        </w:rPr>
        <w:t>η εμπορική κίνηση βαίνει μειούμενη σε σύγκριση με πέρυσι, σ</w:t>
      </w:r>
      <w:r w:rsidR="00374759" w:rsidRPr="00B608E2">
        <w:rPr>
          <w:rFonts w:eastAsia="Times New Roman" w:cs="Times New Roman"/>
          <w:bCs/>
          <w:color w:val="000000"/>
          <w:lang w:eastAsia="el-GR"/>
        </w:rPr>
        <w:t xml:space="preserve">τις περισσότερες περιοχές </w:t>
      </w:r>
      <w:r w:rsidR="00911E66" w:rsidRPr="00B608E2">
        <w:rPr>
          <w:rFonts w:eastAsia="Times New Roman" w:cs="Times New Roman"/>
          <w:bCs/>
          <w:color w:val="000000"/>
          <w:lang w:eastAsia="el-GR"/>
        </w:rPr>
        <w:t xml:space="preserve"> </w:t>
      </w:r>
      <w:r w:rsidR="00374759" w:rsidRPr="00B608E2">
        <w:rPr>
          <w:rFonts w:eastAsia="Times New Roman" w:cs="Times New Roman"/>
          <w:bCs/>
          <w:color w:val="000000"/>
          <w:lang w:eastAsia="el-GR"/>
        </w:rPr>
        <w:t>(</w:t>
      </w:r>
      <w:r w:rsidR="00911E66" w:rsidRPr="00B608E2">
        <w:rPr>
          <w:rFonts w:eastAsia="Times New Roman" w:cs="Times New Roman"/>
          <w:bCs/>
          <w:color w:val="000000"/>
          <w:lang w:eastAsia="el-GR"/>
        </w:rPr>
        <w:t>42/67</w:t>
      </w:r>
      <w:r w:rsidR="00374759" w:rsidRPr="00B608E2">
        <w:rPr>
          <w:rFonts w:eastAsia="Times New Roman" w:cs="Times New Roman"/>
          <w:bCs/>
          <w:color w:val="000000"/>
          <w:lang w:eastAsia="el-GR"/>
        </w:rPr>
        <w:t xml:space="preserve">), </w:t>
      </w:r>
      <w:r w:rsidR="006B0435" w:rsidRPr="00B608E2">
        <w:rPr>
          <w:rFonts w:eastAsia="Times New Roman" w:cs="Times New Roman"/>
          <w:bCs/>
          <w:color w:val="000000"/>
          <w:lang w:eastAsia="el-GR"/>
        </w:rPr>
        <w:t>σ</w:t>
      </w:r>
      <w:r w:rsidR="00374759" w:rsidRPr="00B608E2">
        <w:rPr>
          <w:rFonts w:eastAsia="Times New Roman" w:cs="Times New Roman"/>
          <w:bCs/>
          <w:color w:val="000000"/>
          <w:lang w:eastAsia="el-GR"/>
        </w:rPr>
        <w:t xml:space="preserve">ε ένα σημαντικό μέρος (20/67 αγορές) </w:t>
      </w:r>
      <w:r w:rsidR="004710F5" w:rsidRPr="00B608E2">
        <w:rPr>
          <w:rFonts w:eastAsia="Times New Roman" w:cs="Times New Roman"/>
          <w:bCs/>
          <w:color w:val="000000"/>
          <w:lang w:eastAsia="el-GR"/>
        </w:rPr>
        <w:t xml:space="preserve">οι πωλήσεις </w:t>
      </w:r>
      <w:r w:rsidR="00374759" w:rsidRPr="00B608E2">
        <w:rPr>
          <w:rFonts w:eastAsia="Times New Roman" w:cs="Times New Roman"/>
          <w:bCs/>
          <w:color w:val="000000"/>
          <w:lang w:eastAsia="el-GR"/>
        </w:rPr>
        <w:t>κινήθηκαν στα ίδια επίπεδα</w:t>
      </w:r>
      <w:r w:rsidR="00236FFE" w:rsidRPr="00B608E2">
        <w:rPr>
          <w:rFonts w:eastAsia="Times New Roman" w:cs="Times New Roman"/>
          <w:bCs/>
          <w:color w:val="000000"/>
          <w:lang w:eastAsia="el-GR"/>
        </w:rPr>
        <w:t xml:space="preserve"> με </w:t>
      </w:r>
      <w:r w:rsidR="00F0338E" w:rsidRPr="00B608E2">
        <w:rPr>
          <w:rFonts w:eastAsia="Times New Roman" w:cs="Times New Roman"/>
          <w:bCs/>
          <w:color w:val="000000"/>
          <w:lang w:eastAsia="el-GR"/>
        </w:rPr>
        <w:t xml:space="preserve">τα περυσινά, </w:t>
      </w:r>
      <w:r w:rsidRPr="00B608E2">
        <w:rPr>
          <w:rFonts w:eastAsia="Times New Roman" w:cs="Times New Roman"/>
          <w:bCs/>
          <w:color w:val="000000"/>
          <w:lang w:eastAsia="el-GR"/>
        </w:rPr>
        <w:t>ενώ σε δυο περιοχές της Αττικής, Γαλάτσι και Μ</w:t>
      </w:r>
      <w:r w:rsidR="00461B20" w:rsidRPr="00B608E2">
        <w:rPr>
          <w:rFonts w:eastAsia="Times New Roman" w:cs="Times New Roman"/>
          <w:bCs/>
          <w:color w:val="000000"/>
          <w:lang w:eastAsia="el-GR"/>
        </w:rPr>
        <w:t>οσχάτο και στον</w:t>
      </w:r>
      <w:r w:rsidRPr="00B608E2">
        <w:rPr>
          <w:rFonts w:eastAsia="Times New Roman" w:cs="Times New Roman"/>
          <w:bCs/>
          <w:color w:val="000000"/>
          <w:lang w:eastAsia="el-GR"/>
        </w:rPr>
        <w:t xml:space="preserve"> Πόρο, </w:t>
      </w:r>
      <w:r w:rsidR="00461B20" w:rsidRPr="00B608E2">
        <w:rPr>
          <w:rFonts w:eastAsia="Times New Roman" w:cs="Times New Roman"/>
          <w:bCs/>
          <w:color w:val="000000"/>
          <w:lang w:eastAsia="el-GR"/>
        </w:rPr>
        <w:t xml:space="preserve">στη </w:t>
      </w:r>
      <w:r w:rsidRPr="00B608E2">
        <w:rPr>
          <w:rFonts w:eastAsia="Times New Roman" w:cs="Times New Roman"/>
          <w:bCs/>
          <w:color w:val="000000"/>
          <w:lang w:eastAsia="el-GR"/>
        </w:rPr>
        <w:t xml:space="preserve">Σαντορίνη και </w:t>
      </w:r>
      <w:r w:rsidR="00461B20" w:rsidRPr="00B608E2">
        <w:rPr>
          <w:rFonts w:eastAsia="Times New Roman" w:cs="Times New Roman"/>
          <w:bCs/>
          <w:color w:val="000000"/>
          <w:lang w:eastAsia="el-GR"/>
        </w:rPr>
        <w:t xml:space="preserve">στις </w:t>
      </w:r>
      <w:r w:rsidRPr="00B608E2">
        <w:rPr>
          <w:rFonts w:eastAsia="Times New Roman" w:cs="Times New Roman"/>
          <w:bCs/>
          <w:color w:val="000000"/>
          <w:lang w:eastAsia="el-GR"/>
        </w:rPr>
        <w:t xml:space="preserve">Σέρρες σημειώθηκε αύξηση </w:t>
      </w:r>
      <w:r w:rsidR="00C81613" w:rsidRPr="00B608E2">
        <w:rPr>
          <w:rFonts w:eastAsia="Times New Roman" w:cs="Times New Roman"/>
          <w:bCs/>
          <w:color w:val="000000"/>
          <w:lang w:eastAsia="el-GR"/>
        </w:rPr>
        <w:t xml:space="preserve">της κίνησης </w:t>
      </w:r>
      <w:r w:rsidRPr="00B608E2">
        <w:rPr>
          <w:rFonts w:eastAsia="Times New Roman" w:cs="Times New Roman"/>
          <w:bCs/>
          <w:color w:val="000000"/>
          <w:lang w:eastAsia="el-GR"/>
        </w:rPr>
        <w:t>σε σύγκριση με τ</w:t>
      </w:r>
      <w:r w:rsidR="00CA1C8E" w:rsidRPr="00B608E2">
        <w:rPr>
          <w:rFonts w:eastAsia="Times New Roman" w:cs="Times New Roman"/>
          <w:bCs/>
          <w:color w:val="000000"/>
          <w:lang w:eastAsia="el-GR"/>
        </w:rPr>
        <w:t>ην περυσινή αντίστοιχη περίοδο.</w:t>
      </w:r>
    </w:p>
    <w:p w:rsidR="00B608E2" w:rsidRDefault="00B608E2" w:rsidP="00EB1094">
      <w:pPr>
        <w:spacing w:after="200" w:line="276" w:lineRule="auto"/>
        <w:jc w:val="both"/>
        <w:rPr>
          <w:rFonts w:eastAsia="Times New Roman" w:cs="Times New Roman"/>
          <w:bCs/>
          <w:color w:val="000000"/>
          <w:lang w:eastAsia="el-GR"/>
        </w:rPr>
      </w:pPr>
    </w:p>
    <w:p w:rsidR="00CE5161" w:rsidRDefault="00CE5161" w:rsidP="00EB1094">
      <w:pPr>
        <w:spacing w:after="200" w:line="276" w:lineRule="auto"/>
        <w:jc w:val="both"/>
        <w:rPr>
          <w:rFonts w:eastAsia="Times New Roman" w:cs="Times New Roman"/>
          <w:bCs/>
          <w:color w:val="000000"/>
          <w:lang w:eastAsia="el-GR"/>
        </w:rPr>
      </w:pPr>
    </w:p>
    <w:p w:rsidR="00CE5161" w:rsidRDefault="00CE5161" w:rsidP="00EB1094">
      <w:pPr>
        <w:spacing w:after="200" w:line="276" w:lineRule="auto"/>
        <w:jc w:val="both"/>
        <w:rPr>
          <w:rFonts w:eastAsia="Times New Roman" w:cs="Times New Roman"/>
          <w:bCs/>
          <w:color w:val="000000"/>
          <w:lang w:eastAsia="el-GR"/>
        </w:rPr>
      </w:pPr>
    </w:p>
    <w:p w:rsidR="00CE5161" w:rsidRPr="00B608E2" w:rsidRDefault="00CE5161" w:rsidP="00EB1094">
      <w:pPr>
        <w:spacing w:after="200" w:line="276" w:lineRule="auto"/>
        <w:jc w:val="both"/>
        <w:rPr>
          <w:rFonts w:eastAsia="Times New Roman" w:cs="Times New Roman"/>
          <w:bCs/>
          <w:color w:val="000000"/>
          <w:lang w:eastAsia="el-GR"/>
        </w:rPr>
      </w:pPr>
    </w:p>
    <w:p w:rsidR="00CA1C8E" w:rsidRPr="00B608E2" w:rsidRDefault="00CA1C8E" w:rsidP="00EB1094">
      <w:pPr>
        <w:spacing w:after="200" w:line="276" w:lineRule="auto"/>
        <w:jc w:val="both"/>
        <w:rPr>
          <w:rFonts w:eastAsia="Times New Roman" w:cs="Times New Roman"/>
          <w:bCs/>
          <w:color w:val="000000"/>
          <w:lang w:eastAsia="el-GR"/>
        </w:rPr>
      </w:pPr>
    </w:p>
    <w:tbl>
      <w:tblPr>
        <w:tblW w:w="8701" w:type="dxa"/>
        <w:tblLook w:val="04A0" w:firstRow="1" w:lastRow="0" w:firstColumn="1" w:lastColumn="0" w:noHBand="0" w:noVBand="1"/>
      </w:tblPr>
      <w:tblGrid>
        <w:gridCol w:w="597"/>
        <w:gridCol w:w="3801"/>
        <w:gridCol w:w="4303"/>
      </w:tblGrid>
      <w:tr w:rsidR="004858AB" w:rsidRPr="00B608E2" w:rsidTr="00EF7400">
        <w:trPr>
          <w:trHeight w:val="19"/>
        </w:trPr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Εκτίμηση της  κίνησης των πωλήσεων κατά την περίοδο των ενδιάμεσων  εαρινών εκπτώσεων στα καταστήματα 67 περιοχών  της χώρας</w:t>
            </w:r>
            <w:r w:rsidRPr="00B608E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br/>
              <w:t>Μάιος (2018)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Περιοχές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ΕΚΤΙΜΩΜΕΝΟ  ΠΟΣΟΣΤΟ</w:t>
            </w:r>
            <w:r w:rsidRPr="00B608E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 xml:space="preserve"> (%) μείωσης/αύξησης</w:t>
            </w:r>
          </w:p>
        </w:tc>
      </w:tr>
      <w:tr w:rsidR="004858AB" w:rsidRPr="00B608E2" w:rsidTr="00EF7400">
        <w:trPr>
          <w:trHeight w:val="6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Αθήνα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ΚΕΝΤΡΟ</w:t>
            </w:r>
            <w:r w:rsidR="00D23E30" w:rsidRPr="00B608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: </w:t>
            </w:r>
            <w:r w:rsidRPr="00B608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 ΜΕΙΩΣΗ (-)1%-10%                     </w:t>
            </w:r>
            <w:r w:rsidR="00D23E30" w:rsidRPr="00B608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      </w:t>
            </w:r>
            <w:r w:rsidRPr="00B608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   ΠΕΡΙΦΕΡΕΙΑ</w:t>
            </w:r>
            <w:r w:rsidR="00D23E30" w:rsidRPr="00B608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: </w:t>
            </w:r>
            <w:r w:rsidRPr="00B608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 ΜΕΙΩΣΗ(-)11%-20%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Θεσσαλονίκη                   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Μαρούσι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Κηφισιά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Χαλάνδρι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Περιστέρι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Καλλιθέα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Γαλάτσι-Λαμπρινή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ΑΥΞΗΣΗ +1%-10%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11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Μοσχάτο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ΑΥΞΗΣΗ +1%-10%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12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Ν. Ιωνία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13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Ν. Σμύρνη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14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Νίκαια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15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Π. Φάληρο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16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Δραπετσώνα-Κερατσίνι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17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Ίλιον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18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Αλεξανδρούπολη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19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Αλεξάνδρεια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20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Άρτα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21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Βέροια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22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Βόλος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23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Γιαννιτσά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Γρεβενά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Δράμας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26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Έδεσσα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27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Ελασσόνα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ΜΕΓΑΛΥΤΕΡΗ ΑΠΌ - 41%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28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Ζάκυνθος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29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Ηγουμενίτσα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30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Θήβα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(-)21%-30%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31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Ιωάννινα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32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Καβάλα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33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Καλαμάτα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34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Καστοριά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35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Καρδίτσα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36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Κατερίνη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(-)21%-30%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37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Κέρκυρα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38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Κόρινθος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39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Κιάτο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40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Κιλκίς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41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Κοζάνη 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42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Κομοτηνής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43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Κυπαρισσία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44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Λαμία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(-)21%-30%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45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Λάρισα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46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Λευκάδας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47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Λήμνος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48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Λιβαδειά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49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Μυτιλήνης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Νάξος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51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Νάουσα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52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Ναύπλιο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53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Ξάνθη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54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Πόρος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ΑΥΞΗΣΗ +1%-10%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55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Πρέβεζα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56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Πύργος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57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Ρόδου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58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Σαντορίνη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ΑΥΞΗΣΗ +1%-10%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59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Σέρρες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ΑΥΞΗΣΗ +11%-20%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60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Σκύδρα 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61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Σπάρτη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62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Στυλίδα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ΜΕΓΑΛΥΤΕΡΗ ΑΠΌ - 41%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63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Σύρος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64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Τρίκαλα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ΣΤΑ ΙΔΙΑ ΕΠΙΠΕΔΑ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65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Φάρσαλα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(-)11%-20%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66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Φλώρινα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(-)21%-30%</w:t>
            </w:r>
          </w:p>
        </w:tc>
      </w:tr>
      <w:tr w:rsidR="004858AB" w:rsidRPr="00B608E2" w:rsidTr="00EF7400">
        <w:trPr>
          <w:trHeight w:val="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B608E2">
              <w:rPr>
                <w:rFonts w:eastAsia="Times New Roman" w:cs="Times New Roman"/>
                <w:lang w:eastAsia="el-GR"/>
              </w:rPr>
              <w:t>67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sz w:val="24"/>
                <w:szCs w:val="24"/>
                <w:lang w:eastAsia="el-GR"/>
              </w:rPr>
              <w:t>Χαλκίδα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ΜΕΙΩΣΗ (-)1%-10%</w:t>
            </w:r>
          </w:p>
        </w:tc>
      </w:tr>
      <w:tr w:rsidR="004858AB" w:rsidRPr="00B608E2" w:rsidTr="00EF7400">
        <w:trPr>
          <w:trHeight w:val="739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8AB" w:rsidRPr="00B608E2" w:rsidRDefault="004858AB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lang w:eastAsia="el-GR"/>
              </w:rPr>
              <w:t>M.O. (%)     2018/2017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AB" w:rsidRPr="00B608E2" w:rsidRDefault="001C57FD" w:rsidP="00485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608E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-7,3</w:t>
            </w:r>
            <w:r w:rsidR="004858AB" w:rsidRPr="00B608E2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%</w:t>
            </w:r>
          </w:p>
        </w:tc>
      </w:tr>
    </w:tbl>
    <w:p w:rsidR="007B69EF" w:rsidRPr="00B608E2" w:rsidRDefault="007B69EF" w:rsidP="007B69EF">
      <w:pPr>
        <w:jc w:val="both"/>
        <w:rPr>
          <w:b/>
          <w:sz w:val="26"/>
          <w:szCs w:val="26"/>
        </w:rPr>
      </w:pPr>
    </w:p>
    <w:p w:rsidR="00A625A8" w:rsidRPr="00B608E2" w:rsidRDefault="00A625A8" w:rsidP="00A625A8">
      <w:pPr>
        <w:tabs>
          <w:tab w:val="left" w:pos="4785"/>
        </w:tabs>
        <w:jc w:val="both"/>
      </w:pPr>
    </w:p>
    <w:sectPr w:rsidR="00A625A8" w:rsidRPr="00B608E2" w:rsidSect="0033772D">
      <w:footerReference w:type="default" r:id="rId14"/>
      <w:pgSz w:w="11906" w:h="16838"/>
      <w:pgMar w:top="141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AB" w:rsidRDefault="008B60AB" w:rsidP="001E2A83">
      <w:pPr>
        <w:spacing w:after="0" w:line="240" w:lineRule="auto"/>
      </w:pPr>
      <w:r>
        <w:separator/>
      </w:r>
    </w:p>
  </w:endnote>
  <w:endnote w:type="continuationSeparator" w:id="0">
    <w:p w:rsidR="008B60AB" w:rsidRDefault="008B60AB" w:rsidP="001E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479786"/>
      <w:docPartObj>
        <w:docPartGallery w:val="Page Numbers (Bottom of Page)"/>
        <w:docPartUnique/>
      </w:docPartObj>
    </w:sdtPr>
    <w:sdtEndPr/>
    <w:sdtContent>
      <w:p w:rsidR="007972FF" w:rsidRDefault="00BF312E">
        <w:pPr>
          <w:pStyle w:val="a8"/>
          <w:jc w:val="right"/>
        </w:pPr>
        <w:r>
          <w:fldChar w:fldCharType="begin"/>
        </w:r>
        <w:r w:rsidR="007972FF">
          <w:instrText>PAGE   \* MERGEFORMAT</w:instrText>
        </w:r>
        <w:r>
          <w:fldChar w:fldCharType="separate"/>
        </w:r>
        <w:r w:rsidR="00773A8D">
          <w:rPr>
            <w:noProof/>
          </w:rPr>
          <w:t>7</w:t>
        </w:r>
        <w:r>
          <w:fldChar w:fldCharType="end"/>
        </w:r>
      </w:p>
    </w:sdtContent>
  </w:sdt>
  <w:p w:rsidR="007972FF" w:rsidRDefault="007972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AB" w:rsidRDefault="008B60AB" w:rsidP="001E2A83">
      <w:pPr>
        <w:spacing w:after="0" w:line="240" w:lineRule="auto"/>
      </w:pPr>
      <w:r>
        <w:separator/>
      </w:r>
    </w:p>
  </w:footnote>
  <w:footnote w:type="continuationSeparator" w:id="0">
    <w:p w:rsidR="008B60AB" w:rsidRDefault="008B60AB" w:rsidP="001E2A83">
      <w:pPr>
        <w:spacing w:after="0" w:line="240" w:lineRule="auto"/>
      </w:pPr>
      <w:r>
        <w:continuationSeparator/>
      </w:r>
    </w:p>
  </w:footnote>
  <w:footnote w:id="1">
    <w:p w:rsidR="001E2A83" w:rsidRDefault="001E2A83">
      <w:pPr>
        <w:pStyle w:val="a3"/>
      </w:pPr>
      <w:r>
        <w:rPr>
          <w:rStyle w:val="a4"/>
        </w:rPr>
        <w:footnoteRef/>
      </w:r>
      <w:r>
        <w:t xml:space="preserve"> 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8635"/>
      </w:tblGrid>
      <w:tr w:rsidR="001E2A83" w:rsidRPr="001E2A83" w:rsidTr="001B535C">
        <w:trPr>
          <w:trHeight w:val="36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83" w:rsidRPr="001E2A83" w:rsidRDefault="001E2A83" w:rsidP="001B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E2A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Περιοχές που δεν συμμετείχαν στις ενδιάμεσες εκπτώσεις Μαΐου</w:t>
            </w:r>
            <w:r w:rsidR="001B53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: </w:t>
            </w:r>
            <w:r w:rsidR="001B535C" w:rsidRPr="001E2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Ηρακλείου</w:t>
            </w:r>
            <w:r w:rsidR="001B5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 /</w:t>
            </w:r>
            <w:r w:rsidR="001B535C" w:rsidRPr="001E2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Ιεράπετρα</w:t>
            </w:r>
            <w:r w:rsidR="001B5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 /</w:t>
            </w:r>
            <w:r w:rsidR="001B535C" w:rsidRPr="001E2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Ρέθυμνο</w:t>
            </w:r>
            <w:r w:rsidR="001B5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/ </w:t>
            </w:r>
            <w:r w:rsidR="001B535C" w:rsidRPr="001E2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Χανιά</w:t>
            </w:r>
            <w:r w:rsidR="001B5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/ </w:t>
            </w:r>
            <w:r w:rsidR="001B535C" w:rsidRPr="001E2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Αγ. Νικόλαος  (Λασιθίου) </w:t>
            </w:r>
            <w:r w:rsidR="001B5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/ </w:t>
            </w:r>
            <w:r w:rsidR="001B535C" w:rsidRPr="001E2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Σέριφος</w:t>
            </w:r>
            <w:r w:rsidR="001B5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/ </w:t>
            </w:r>
            <w:r w:rsidR="001B535C" w:rsidRPr="001E2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Σίφνος</w:t>
            </w:r>
            <w:r w:rsidR="001B5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/ </w:t>
            </w:r>
            <w:r w:rsidR="001B535C" w:rsidRPr="001E2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Σπέτσες</w:t>
            </w:r>
            <w:r w:rsidR="001B5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</w:tr>
    </w:tbl>
    <w:p w:rsidR="001E2A83" w:rsidRDefault="001E2A8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77EB7"/>
    <w:multiLevelType w:val="hybridMultilevel"/>
    <w:tmpl w:val="299A58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967E4"/>
    <w:multiLevelType w:val="hybridMultilevel"/>
    <w:tmpl w:val="C8FCEE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41217"/>
    <w:multiLevelType w:val="hybridMultilevel"/>
    <w:tmpl w:val="505654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F6B86"/>
    <w:multiLevelType w:val="hybridMultilevel"/>
    <w:tmpl w:val="610EB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E46D6"/>
    <w:multiLevelType w:val="hybridMultilevel"/>
    <w:tmpl w:val="72BAC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B1"/>
    <w:rsid w:val="00016912"/>
    <w:rsid w:val="00053592"/>
    <w:rsid w:val="00082FEC"/>
    <w:rsid w:val="001070F1"/>
    <w:rsid w:val="00112EB7"/>
    <w:rsid w:val="00136316"/>
    <w:rsid w:val="00155976"/>
    <w:rsid w:val="00197139"/>
    <w:rsid w:val="001B3EA1"/>
    <w:rsid w:val="001B535C"/>
    <w:rsid w:val="001C57FD"/>
    <w:rsid w:val="001E2A83"/>
    <w:rsid w:val="00236FFE"/>
    <w:rsid w:val="00275CAD"/>
    <w:rsid w:val="0033772D"/>
    <w:rsid w:val="00372E53"/>
    <w:rsid w:val="00374759"/>
    <w:rsid w:val="00444344"/>
    <w:rsid w:val="00461B20"/>
    <w:rsid w:val="004710F5"/>
    <w:rsid w:val="0047128A"/>
    <w:rsid w:val="004858AB"/>
    <w:rsid w:val="005C24B2"/>
    <w:rsid w:val="005E5E39"/>
    <w:rsid w:val="006117F4"/>
    <w:rsid w:val="006562AC"/>
    <w:rsid w:val="00656B9F"/>
    <w:rsid w:val="006B0435"/>
    <w:rsid w:val="006C512C"/>
    <w:rsid w:val="006D66A9"/>
    <w:rsid w:val="006D6A42"/>
    <w:rsid w:val="00773A8D"/>
    <w:rsid w:val="007972FF"/>
    <w:rsid w:val="007B69EF"/>
    <w:rsid w:val="008817B5"/>
    <w:rsid w:val="008A1D3E"/>
    <w:rsid w:val="008A606C"/>
    <w:rsid w:val="008B60AB"/>
    <w:rsid w:val="00911E66"/>
    <w:rsid w:val="00A625A8"/>
    <w:rsid w:val="00AB46D7"/>
    <w:rsid w:val="00AC01AA"/>
    <w:rsid w:val="00AF40CC"/>
    <w:rsid w:val="00B608E2"/>
    <w:rsid w:val="00BF312E"/>
    <w:rsid w:val="00C15F29"/>
    <w:rsid w:val="00C22614"/>
    <w:rsid w:val="00C7271C"/>
    <w:rsid w:val="00C81613"/>
    <w:rsid w:val="00CA1C8E"/>
    <w:rsid w:val="00CE5161"/>
    <w:rsid w:val="00CF09BC"/>
    <w:rsid w:val="00D23E30"/>
    <w:rsid w:val="00DD4627"/>
    <w:rsid w:val="00E06EB4"/>
    <w:rsid w:val="00E123E6"/>
    <w:rsid w:val="00E62B44"/>
    <w:rsid w:val="00E65B6B"/>
    <w:rsid w:val="00E827EB"/>
    <w:rsid w:val="00EB1094"/>
    <w:rsid w:val="00EE0FB1"/>
    <w:rsid w:val="00EF7400"/>
    <w:rsid w:val="00F0338E"/>
    <w:rsid w:val="00F5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ACBB4-1FA9-4266-B2B9-6DEB5DFC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0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footnote text"/>
    <w:basedOn w:val="a"/>
    <w:link w:val="Char"/>
    <w:uiPriority w:val="99"/>
    <w:semiHidden/>
    <w:unhideWhenUsed/>
    <w:rsid w:val="001E2A83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E2A8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E2A83"/>
    <w:rPr>
      <w:vertAlign w:val="superscript"/>
    </w:rPr>
  </w:style>
  <w:style w:type="paragraph" w:styleId="a5">
    <w:name w:val="Plain Text"/>
    <w:basedOn w:val="a"/>
    <w:link w:val="Char0"/>
    <w:uiPriority w:val="99"/>
    <w:unhideWhenUsed/>
    <w:rsid w:val="008817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8817B5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8817B5"/>
    <w:pPr>
      <w:spacing w:after="200" w:line="276" w:lineRule="auto"/>
      <w:ind w:left="720"/>
      <w:contextualSpacing/>
    </w:pPr>
    <w:rPr>
      <w:lang w:val="en-GB"/>
    </w:rPr>
  </w:style>
  <w:style w:type="paragraph" w:styleId="a7">
    <w:name w:val="header"/>
    <w:basedOn w:val="a"/>
    <w:link w:val="Char1"/>
    <w:uiPriority w:val="99"/>
    <w:unhideWhenUsed/>
    <w:rsid w:val="00797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7972FF"/>
  </w:style>
  <w:style w:type="paragraph" w:styleId="a8">
    <w:name w:val="footer"/>
    <w:basedOn w:val="a"/>
    <w:link w:val="Char2"/>
    <w:uiPriority w:val="99"/>
    <w:unhideWhenUsed/>
    <w:rsid w:val="00797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7972FF"/>
  </w:style>
  <w:style w:type="paragraph" w:styleId="a9">
    <w:name w:val="Balloon Text"/>
    <w:basedOn w:val="a"/>
    <w:link w:val="Char3"/>
    <w:uiPriority w:val="99"/>
    <w:semiHidden/>
    <w:unhideWhenUsed/>
    <w:rsid w:val="00B6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8E2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Char4"/>
    <w:uiPriority w:val="99"/>
    <w:semiHidden/>
    <w:unhideWhenUsed/>
    <w:rsid w:val="00E65B6B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a"/>
    <w:uiPriority w:val="99"/>
    <w:semiHidden/>
    <w:rsid w:val="00E65B6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65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mpkeyn\Desktop\&#917;&#958;&#969;&#964;&#953;&#954;&#972;&#962;%20&#931;&#965;&#957;&#949;&#961;&#947;&#940;&#964;&#951;&#962;\esee\&#917;&#929;&#917;&#933;&#925;&#917;&#931;\epoxikes\10&#919;&#924;&#917;&#929;&#927;%20&#917;&#922;&#928;&#932;&#937;&#931;&#917;&#937;&#925;%20&#924;&#945;&#953;&#959;&#962;%202018\Spss\graphs%20&#924;&#945;&#953;&#959;&#962;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mpkeyn\Desktop\&#917;&#958;&#969;&#964;&#953;&#954;&#972;&#962;%20&#931;&#965;&#957;&#949;&#961;&#947;&#940;&#964;&#951;&#962;\esee\&#917;&#929;&#917;&#933;&#925;&#917;&#931;\epoxikes\10&#919;&#924;&#917;&#929;&#927;%20&#917;&#922;&#928;&#932;&#937;&#931;&#917;&#937;&#925;%20&#924;&#945;&#953;&#959;&#962;%202018\Spss\graphs%20&#924;&#945;&#953;&#959;&#962;%20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mpkeyn\Desktop\&#917;&#958;&#969;&#964;&#953;&#954;&#972;&#962;%20&#931;&#965;&#957;&#949;&#961;&#947;&#940;&#964;&#951;&#962;\esee\&#917;&#929;&#917;&#933;&#925;&#917;&#931;\epoxikes\10&#919;&#924;&#917;&#929;&#927;%20&#917;&#922;&#928;&#932;&#937;&#931;&#917;&#937;&#925;%20&#924;&#945;&#953;&#959;&#962;%202018\Spss\graphs%20&#924;&#945;&#953;&#959;&#962;%20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mpkeyn\Desktop\&#917;&#958;&#969;&#964;&#953;&#954;&#972;&#962;%20&#931;&#965;&#957;&#949;&#961;&#947;&#940;&#964;&#951;&#962;\esee\&#917;&#929;&#917;&#933;&#925;&#917;&#931;\epoxikes\10&#919;&#924;&#917;&#929;&#927;%20&#917;&#922;&#928;&#932;&#937;&#931;&#917;&#937;&#925;%20&#924;&#945;&#953;&#959;&#962;%202018\Spss\graphs%20&#924;&#945;&#953;&#959;&#962;%20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mpkeyn\Desktop\&#917;&#958;&#969;&#964;&#953;&#954;&#972;&#962;%20&#931;&#965;&#957;&#949;&#961;&#947;&#940;&#964;&#951;&#962;\esee\&#917;&#929;&#917;&#933;&#925;&#917;&#931;\epoxikes\10&#919;&#924;&#917;&#929;&#927;%20&#917;&#922;&#928;&#932;&#937;&#931;&#917;&#937;&#925;%20&#924;&#945;&#953;&#959;&#962;%202018\Spss\graphs%20&#924;&#945;&#953;&#959;&#962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/>
              <a:t>Διάγραμμα</a:t>
            </a:r>
            <a:r>
              <a:rPr lang="el-GR" sz="1400" baseline="0"/>
              <a:t> 1: </a:t>
            </a:r>
            <a:r>
              <a:rPr lang="el-GR" sz="1400"/>
              <a:t>Ποσοστό έκπτωσης στην επιχείρηση κατά τη διάρκεια των εκπτώσεων του Μαΐου</a:t>
            </a:r>
            <a:r>
              <a:rPr lang="en-GB" sz="1400"/>
              <a:t> </a:t>
            </a:r>
            <a:r>
              <a:rPr lang="el-GR" sz="1400"/>
              <a:t>2018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Φύλλο1!$B$2:$B$7</c:f>
              <c:strCache>
                <c:ptCount val="6"/>
                <c:pt idx="0">
                  <c:v>Δεν συμμετείχαν</c:v>
                </c:pt>
                <c:pt idx="1">
                  <c:v>0-10%</c:v>
                </c:pt>
                <c:pt idx="2">
                  <c:v>11%-20%</c:v>
                </c:pt>
                <c:pt idx="3">
                  <c:v>21-40%</c:v>
                </c:pt>
                <c:pt idx="4">
                  <c:v>41%-50%</c:v>
                </c:pt>
                <c:pt idx="5">
                  <c:v> 50% και άνω </c:v>
                </c:pt>
              </c:strCache>
            </c:strRef>
          </c:cat>
          <c:val>
            <c:numRef>
              <c:f>Φύλλο1!$D$2:$D$7</c:f>
              <c:numCache>
                <c:formatCode>####.000</c:formatCode>
                <c:ptCount val="6"/>
                <c:pt idx="0">
                  <c:v>0.21827411167512703</c:v>
                </c:pt>
                <c:pt idx="1">
                  <c:v>8.6294416243654845E-2</c:v>
                </c:pt>
                <c:pt idx="2">
                  <c:v>0.32487309644670048</c:v>
                </c:pt>
                <c:pt idx="3">
                  <c:v>0.28426395939086335</c:v>
                </c:pt>
                <c:pt idx="4">
                  <c:v>6.0913705583756354E-2</c:v>
                </c:pt>
                <c:pt idx="5">
                  <c:v>2.538071065989848E-2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0703192"/>
        <c:axId val="270705936"/>
        <c:axId val="0"/>
      </c:bar3DChart>
      <c:catAx>
        <c:axId val="270703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70705936"/>
        <c:crosses val="autoZero"/>
        <c:auto val="1"/>
        <c:lblAlgn val="ctr"/>
        <c:lblOffset val="100"/>
        <c:noMultiLvlLbl val="0"/>
      </c:catAx>
      <c:valAx>
        <c:axId val="270705936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707031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 b="1" i="0" u="none" strike="noStrike" baseline="0"/>
              <a:t>Διάγραμμα 2: Εμπορεύματα με έκπτωση κατά τη διάρκεια των εκπτώσεων του Μαΐου 201</a:t>
            </a:r>
            <a:r>
              <a:rPr lang="en-GB" sz="1400" b="1" i="0" u="none" strike="noStrike" baseline="0"/>
              <a:t>8</a:t>
            </a:r>
            <a:endParaRPr lang="el-GR" sz="1400"/>
          </a:p>
        </c:rich>
      </c:tx>
      <c:layout>
        <c:manualLayout>
          <c:xMode val="edge"/>
          <c:yMode val="edge"/>
          <c:x val="0.10756321301421513"/>
          <c:y val="2.867383512544810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Φύλλο1!$B$20:$B$24</c:f>
              <c:strCache>
                <c:ptCount val="5"/>
                <c:pt idx="0">
                  <c:v>Στο μεγαλύτερο μέρος των νέων παραλαβών της σεζόν </c:v>
                </c:pt>
                <c:pt idx="1">
                  <c:v>Σε μικρό μέρος των νέων παραλαβών της σεζόν</c:v>
                </c:pt>
                <c:pt idx="2">
                  <c:v>Σε συγκεκριμένη κατηγορία προϊόντων</c:v>
                </c:pt>
                <c:pt idx="3">
                  <c:v>Κυρίως σε εμπορεύματα stock </c:v>
                </c:pt>
                <c:pt idx="4">
                  <c:v>Σε όλα τα εμπορεύματα</c:v>
                </c:pt>
              </c:strCache>
            </c:strRef>
          </c:cat>
          <c:val>
            <c:numRef>
              <c:f>Φύλλο1!$D$20:$D$24</c:f>
              <c:numCache>
                <c:formatCode>####.000</c:formatCode>
                <c:ptCount val="5"/>
                <c:pt idx="0">
                  <c:v>0.14193548387096813</c:v>
                </c:pt>
                <c:pt idx="1">
                  <c:v>3.2258064516129066E-2</c:v>
                </c:pt>
                <c:pt idx="2">
                  <c:v>0.16774193548387109</c:v>
                </c:pt>
                <c:pt idx="3">
                  <c:v>0.12903225806451613</c:v>
                </c:pt>
                <c:pt idx="4">
                  <c:v>0.52903225806451615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/>
              <a:t>Διάγραμμα</a:t>
            </a:r>
            <a:r>
              <a:rPr lang="el-GR" sz="1400" baseline="0"/>
              <a:t> 3: </a:t>
            </a:r>
            <a:r>
              <a:rPr lang="el-GR" sz="1400"/>
              <a:t>Πωλήσεις την εκπτωτική περίοδο του Μαΐου 201</a:t>
            </a:r>
            <a:r>
              <a:rPr lang="en-GB" sz="1400"/>
              <a:t>8</a:t>
            </a:r>
            <a:r>
              <a:rPr lang="el-GR" sz="1400"/>
              <a:t> σε σύγκριση με το Μαΐο</a:t>
            </a:r>
            <a:r>
              <a:rPr lang="el-GR" sz="1400" baseline="0"/>
              <a:t> </a:t>
            </a:r>
            <a:r>
              <a:rPr lang="el-GR" sz="1400"/>
              <a:t>201</a:t>
            </a:r>
            <a:r>
              <a:rPr lang="en-GB" sz="1400"/>
              <a:t>7</a:t>
            </a:r>
            <a:endParaRPr lang="el-GR" sz="1400"/>
          </a:p>
        </c:rich>
      </c:tx>
      <c:layout>
        <c:manualLayout>
          <c:xMode val="edge"/>
          <c:yMode val="edge"/>
          <c:x val="0.10756321301421508"/>
          <c:y val="2.867383512544809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Φύλλο1!$B$37:$B$40</c:f>
              <c:strCache>
                <c:ptCount val="4"/>
                <c:pt idx="0">
                  <c:v>Καλύτερα από το 2017</c:v>
                </c:pt>
                <c:pt idx="1">
                  <c:v>Χειρότερα από το 2017</c:v>
                </c:pt>
                <c:pt idx="2">
                  <c:v>Στα ίδια επίπεδα</c:v>
                </c:pt>
                <c:pt idx="3">
                  <c:v>ΔΑ</c:v>
                </c:pt>
              </c:strCache>
            </c:strRef>
          </c:cat>
          <c:val>
            <c:numRef>
              <c:f>Φύλλο1!$D$37:$D$40</c:f>
              <c:numCache>
                <c:formatCode>####.000</c:formatCode>
                <c:ptCount val="4"/>
                <c:pt idx="0">
                  <c:v>7.0967741935483941E-2</c:v>
                </c:pt>
                <c:pt idx="1">
                  <c:v>0.56129032258064515</c:v>
                </c:pt>
                <c:pt idx="2">
                  <c:v>0.3290322580645163</c:v>
                </c:pt>
                <c:pt idx="3">
                  <c:v>3.9000000000000014E-2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/>
              <a:t>Διάγραμμα 4: Πως επηρεάζει το εκπτωτικό δεκαήμερο του Μαΐου τον συνολικό τζίρο το διάστημα της ανοιξιάτικης-καλοκαιρινής εμπορικής περιόδου</a:t>
            </a:r>
          </a:p>
        </c:rich>
      </c:tx>
      <c:layout>
        <c:manualLayout>
          <c:xMode val="edge"/>
          <c:yMode val="edge"/>
          <c:x val="0.10756321301421508"/>
          <c:y val="2.86736838307582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3"/>
            <c:bubble3D val="0"/>
            <c:spPr>
              <a:solidFill>
                <a:sysClr val="window" lastClr="FFFFFF">
                  <a:lumMod val="85000"/>
                </a:sysClr>
              </a:solidFill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Φύλλο1!$B$54:$B$57</c:f>
              <c:strCache>
                <c:ptCount val="4"/>
                <c:pt idx="0">
                  <c:v>Αυξάνει τον τζίρο</c:v>
                </c:pt>
                <c:pt idx="1">
                  <c:v>Μειώνει τον τζίρο</c:v>
                </c:pt>
                <c:pt idx="2">
                  <c:v>Δεν επηρεάζει τον τζίρο</c:v>
                </c:pt>
                <c:pt idx="3">
                  <c:v>ΔΑ</c:v>
                </c:pt>
              </c:strCache>
            </c:strRef>
          </c:cat>
          <c:val>
            <c:numRef>
              <c:f>Φύλλο1!$F$54:$F$57</c:f>
              <c:numCache>
                <c:formatCode>####.000</c:formatCode>
                <c:ptCount val="4"/>
                <c:pt idx="0">
                  <c:v>0.15483870967741944</c:v>
                </c:pt>
                <c:pt idx="1">
                  <c:v>0.29032258064516164</c:v>
                </c:pt>
                <c:pt idx="2">
                  <c:v>0.52903225806451615</c:v>
                </c:pt>
                <c:pt idx="3">
                  <c:v>2.5806451612903236E-2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/>
              <a:t>Διάγραμμα</a:t>
            </a:r>
            <a:r>
              <a:rPr lang="el-GR" sz="1400" baseline="0"/>
              <a:t> 5: </a:t>
            </a:r>
            <a:r>
              <a:rPr lang="el-GR" sz="1400"/>
              <a:t>Εάν είναι σύμφωνοι με την εφαρμογή του μέτρου, των ενδιάμεσων εκπτώσεων</a:t>
            </a:r>
          </a:p>
        </c:rich>
      </c:tx>
      <c:layout>
        <c:manualLayout>
          <c:xMode val="edge"/>
          <c:yMode val="edge"/>
          <c:x val="0.10756321301421508"/>
          <c:y val="2.867379077615307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2"/>
            <c:bubble3D val="0"/>
            <c:spPr>
              <a:solidFill>
                <a:sysClr val="window" lastClr="FFFFFF">
                  <a:lumMod val="85000"/>
                </a:sysClr>
              </a:solidFill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Φύλλο1!$B$68:$B$70</c:f>
              <c:strCache>
                <c:ptCount val="3"/>
                <c:pt idx="0">
                  <c:v>Ναι</c:v>
                </c:pt>
                <c:pt idx="1">
                  <c:v>Όχι</c:v>
                </c:pt>
                <c:pt idx="2">
                  <c:v>ΔΓ/ΔΑ</c:v>
                </c:pt>
              </c:strCache>
            </c:strRef>
          </c:cat>
          <c:val>
            <c:numRef>
              <c:f>Φύλλο1!$D$68:$D$70</c:f>
              <c:numCache>
                <c:formatCode>####.0</c:formatCode>
                <c:ptCount val="3"/>
                <c:pt idx="0">
                  <c:v>0.32258064516129065</c:v>
                </c:pt>
                <c:pt idx="1">
                  <c:v>0.6451612903225814</c:v>
                </c:pt>
                <c:pt idx="2">
                  <c:v>3.2258064516129066E-2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E044-66BB-44A1-8C93-27EE1831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Elissavet Salpea</dc:creator>
  <cp:lastModifiedBy>Konstantina Filippou</cp:lastModifiedBy>
  <cp:revision>3</cp:revision>
  <dcterms:created xsi:type="dcterms:W3CDTF">2018-05-16T07:17:00Z</dcterms:created>
  <dcterms:modified xsi:type="dcterms:W3CDTF">2018-05-16T07:17:00Z</dcterms:modified>
</cp:coreProperties>
</file>