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05" w:type="dxa"/>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805"/>
      </w:tblGrid>
      <w:tr w:rsidR="005929B3" w:rsidRPr="005929B3" w:rsidTr="005929B3">
        <w:trPr>
          <w:trHeight w:val="1590"/>
          <w:tblCellSpacing w:w="15" w:type="dxa"/>
          <w:jc w:val="center"/>
        </w:trPr>
        <w:tc>
          <w:tcPr>
            <w:tcW w:w="0" w:type="auto"/>
            <w:shd w:val="clear" w:color="auto" w:fill="FFFFFF"/>
            <w:vAlign w:val="center"/>
            <w:hideMark/>
          </w:tcPr>
          <w:p w:rsidR="005929B3" w:rsidRPr="005929B3" w:rsidRDefault="005929B3" w:rsidP="005929B3">
            <w:pPr>
              <w:spacing w:after="0" w:line="240" w:lineRule="auto"/>
              <w:jc w:val="center"/>
              <w:rPr>
                <w:rFonts w:ascii="Arial" w:eastAsia="Times New Roman" w:hAnsi="Arial" w:cs="Arial"/>
                <w:color w:val="222222"/>
                <w:sz w:val="19"/>
                <w:szCs w:val="19"/>
                <w:lang w:eastAsia="el-GR"/>
              </w:rPr>
            </w:pPr>
            <w:r w:rsidRPr="005929B3">
              <w:rPr>
                <w:rFonts w:ascii="Arial" w:eastAsia="Times New Roman" w:hAnsi="Arial" w:cs="Arial"/>
                <w:b/>
                <w:bCs/>
                <w:color w:val="000000"/>
                <w:sz w:val="36"/>
                <w:szCs w:val="36"/>
                <w:lang w:eastAsia="el-GR"/>
              </w:rPr>
              <w:t>INFACOMA &amp; AQUATHERM 2018</w:t>
            </w:r>
            <w:r w:rsidRPr="005929B3">
              <w:rPr>
                <w:rFonts w:ascii="Arial" w:eastAsia="Times New Roman" w:hAnsi="Arial" w:cs="Arial"/>
                <w:color w:val="222222"/>
                <w:sz w:val="19"/>
                <w:szCs w:val="19"/>
                <w:lang w:eastAsia="el-GR"/>
              </w:rPr>
              <w:br/>
            </w:r>
            <w:r w:rsidRPr="005929B3">
              <w:rPr>
                <w:rFonts w:ascii="Arial" w:eastAsia="Times New Roman" w:hAnsi="Arial" w:cs="Arial"/>
                <w:b/>
                <w:bCs/>
                <w:color w:val="666666"/>
                <w:sz w:val="30"/>
                <w:szCs w:val="30"/>
                <w:lang w:eastAsia="el-GR"/>
              </w:rPr>
              <w:t>Εκθεσιακό Κέντρο MEC Παιανίας 9 - 12 Φεβρουαρίου 2018</w:t>
            </w:r>
            <w:r w:rsidRPr="005929B3">
              <w:rPr>
                <w:rFonts w:ascii="Arial" w:eastAsia="Times New Roman" w:hAnsi="Arial" w:cs="Arial"/>
                <w:color w:val="222222"/>
                <w:sz w:val="19"/>
                <w:szCs w:val="19"/>
                <w:lang w:eastAsia="el-GR"/>
              </w:rPr>
              <w:br/>
            </w:r>
            <w:r w:rsidRPr="005929B3">
              <w:rPr>
                <w:rFonts w:ascii="Arial" w:eastAsia="Times New Roman" w:hAnsi="Arial" w:cs="Arial"/>
                <w:color w:val="222222"/>
                <w:sz w:val="19"/>
                <w:szCs w:val="19"/>
                <w:lang w:eastAsia="el-GR"/>
              </w:rPr>
              <w:br/>
            </w:r>
            <w:r w:rsidRPr="005929B3">
              <w:rPr>
                <w:rFonts w:ascii="Tahoma" w:eastAsia="Times New Roman" w:hAnsi="Tahoma" w:cs="Tahoma"/>
                <w:b/>
                <w:bCs/>
                <w:color w:val="000000"/>
                <w:sz w:val="24"/>
                <w:szCs w:val="24"/>
                <w:lang w:eastAsia="el-GR"/>
              </w:rPr>
              <w:t>Οι πιο προηγμένες κατασκευαστικές και σχεδιαστικές λύσεις για </w:t>
            </w:r>
            <w:r w:rsidRPr="005929B3">
              <w:rPr>
                <w:rFonts w:ascii="Tahoma" w:eastAsia="Times New Roman" w:hAnsi="Tahoma" w:cs="Tahoma"/>
                <w:b/>
                <w:bCs/>
                <w:color w:val="000000"/>
                <w:sz w:val="24"/>
                <w:szCs w:val="24"/>
                <w:lang w:eastAsia="el-GR"/>
              </w:rPr>
              <w:br/>
              <w:t>τον κλάδο φιλοξενίας!</w:t>
            </w:r>
          </w:p>
        </w:tc>
      </w:tr>
      <w:tr w:rsidR="005929B3" w:rsidRPr="005929B3" w:rsidTr="005929B3">
        <w:trPr>
          <w:trHeight w:val="5400"/>
          <w:tblCellSpacing w:w="15" w:type="dxa"/>
          <w:jc w:val="center"/>
        </w:trPr>
        <w:tc>
          <w:tcPr>
            <w:tcW w:w="0" w:type="auto"/>
            <w:shd w:val="clear" w:color="auto" w:fill="FFFFFF"/>
            <w:vAlign w:val="center"/>
            <w:hideMark/>
          </w:tcPr>
          <w:p w:rsidR="005929B3" w:rsidRPr="005929B3" w:rsidRDefault="005929B3" w:rsidP="005929B3">
            <w:pPr>
              <w:spacing w:after="0" w:line="240" w:lineRule="auto"/>
              <w:rPr>
                <w:rFonts w:ascii="Arial" w:eastAsia="Times New Roman" w:hAnsi="Arial" w:cs="Arial"/>
                <w:color w:val="222222"/>
                <w:sz w:val="19"/>
                <w:szCs w:val="19"/>
                <w:lang w:eastAsia="el-GR"/>
              </w:rPr>
            </w:pPr>
            <w:r w:rsidRPr="005929B3">
              <w:rPr>
                <w:rFonts w:ascii="Arial" w:eastAsia="Times New Roman" w:hAnsi="Arial" w:cs="Arial"/>
                <w:color w:val="333333"/>
                <w:sz w:val="21"/>
                <w:szCs w:val="21"/>
                <w:lang w:eastAsia="el-GR"/>
              </w:rPr>
              <w:t xml:space="preserve">Την ευκαιρία να παρακολουθήσουν από κοντά όλες τις σύγχρονες και πρωτοποριακές λύσεις γύρω από τις κατασκευές, τον εξοπλισμό, την ανακαίνιση, το </w:t>
            </w:r>
            <w:proofErr w:type="spellStart"/>
            <w:r w:rsidRPr="005929B3">
              <w:rPr>
                <w:rFonts w:ascii="Arial" w:eastAsia="Times New Roman" w:hAnsi="Arial" w:cs="Arial"/>
                <w:color w:val="333333"/>
                <w:sz w:val="21"/>
                <w:szCs w:val="21"/>
                <w:lang w:eastAsia="el-GR"/>
              </w:rPr>
              <w:t>design</w:t>
            </w:r>
            <w:proofErr w:type="spellEnd"/>
            <w:r w:rsidRPr="005929B3">
              <w:rPr>
                <w:rFonts w:ascii="Arial" w:eastAsia="Times New Roman" w:hAnsi="Arial" w:cs="Arial"/>
                <w:color w:val="333333"/>
                <w:sz w:val="21"/>
                <w:szCs w:val="21"/>
                <w:lang w:eastAsia="el-GR"/>
              </w:rPr>
              <w:t xml:space="preserve">, τον κλιματισμό, τον εξαερισμό, την ενέργεια, τη διαχείριση νερού, την πισίνα και το </w:t>
            </w:r>
            <w:proofErr w:type="spellStart"/>
            <w:r w:rsidRPr="005929B3">
              <w:rPr>
                <w:rFonts w:ascii="Arial" w:eastAsia="Times New Roman" w:hAnsi="Arial" w:cs="Arial"/>
                <w:color w:val="333333"/>
                <w:sz w:val="21"/>
                <w:szCs w:val="21"/>
                <w:lang w:eastAsia="el-GR"/>
              </w:rPr>
              <w:t>spa</w:t>
            </w:r>
            <w:proofErr w:type="spellEnd"/>
            <w:r w:rsidRPr="005929B3">
              <w:rPr>
                <w:rFonts w:ascii="Arial" w:eastAsia="Times New Roman" w:hAnsi="Arial" w:cs="Arial"/>
                <w:color w:val="333333"/>
                <w:sz w:val="21"/>
                <w:szCs w:val="21"/>
                <w:lang w:eastAsia="el-GR"/>
              </w:rPr>
              <w:t>, θα έχουν οι εκπρόσωποι του εγχώριου κλάδου φιλοξενίας, με την παρουσία τους στις </w:t>
            </w:r>
            <w:proofErr w:type="spellStart"/>
            <w:r w:rsidRPr="005929B3">
              <w:rPr>
                <w:rFonts w:ascii="Arial" w:eastAsia="Times New Roman" w:hAnsi="Arial" w:cs="Arial"/>
                <w:b/>
                <w:bCs/>
                <w:color w:val="333333"/>
                <w:sz w:val="21"/>
                <w:szCs w:val="21"/>
                <w:lang w:eastAsia="el-GR"/>
              </w:rPr>
              <w:t>Infacoma</w:t>
            </w:r>
            <w:proofErr w:type="spellEnd"/>
            <w:r w:rsidRPr="005929B3">
              <w:rPr>
                <w:rFonts w:ascii="Arial" w:eastAsia="Times New Roman" w:hAnsi="Arial" w:cs="Arial"/>
                <w:b/>
                <w:bCs/>
                <w:color w:val="333333"/>
                <w:sz w:val="21"/>
                <w:szCs w:val="21"/>
                <w:lang w:eastAsia="el-GR"/>
              </w:rPr>
              <w:t xml:space="preserve"> &amp; </w:t>
            </w:r>
            <w:proofErr w:type="spellStart"/>
            <w:r w:rsidRPr="005929B3">
              <w:rPr>
                <w:rFonts w:ascii="Arial" w:eastAsia="Times New Roman" w:hAnsi="Arial" w:cs="Arial"/>
                <w:b/>
                <w:bCs/>
                <w:color w:val="333333"/>
                <w:sz w:val="21"/>
                <w:szCs w:val="21"/>
                <w:lang w:eastAsia="el-GR"/>
              </w:rPr>
              <w:t>Aquatherm</w:t>
            </w:r>
            <w:proofErr w:type="spellEnd"/>
            <w:r w:rsidRPr="005929B3">
              <w:rPr>
                <w:rFonts w:ascii="Arial" w:eastAsia="Times New Roman" w:hAnsi="Arial" w:cs="Arial"/>
                <w:b/>
                <w:bCs/>
                <w:color w:val="333333"/>
                <w:sz w:val="21"/>
                <w:szCs w:val="21"/>
                <w:lang w:eastAsia="el-GR"/>
              </w:rPr>
              <w:t xml:space="preserve"> </w:t>
            </w:r>
            <w:proofErr w:type="spellStart"/>
            <w:r w:rsidRPr="005929B3">
              <w:rPr>
                <w:rFonts w:ascii="Arial" w:eastAsia="Times New Roman" w:hAnsi="Arial" w:cs="Arial"/>
                <w:b/>
                <w:bCs/>
                <w:color w:val="333333"/>
                <w:sz w:val="21"/>
                <w:szCs w:val="21"/>
                <w:lang w:eastAsia="el-GR"/>
              </w:rPr>
              <w:t>Athens</w:t>
            </w:r>
            <w:proofErr w:type="spellEnd"/>
            <w:r w:rsidRPr="005929B3">
              <w:rPr>
                <w:rFonts w:ascii="Arial" w:eastAsia="Times New Roman" w:hAnsi="Arial" w:cs="Arial"/>
                <w:b/>
                <w:bCs/>
                <w:color w:val="333333"/>
                <w:sz w:val="21"/>
                <w:szCs w:val="21"/>
                <w:lang w:eastAsia="el-GR"/>
              </w:rPr>
              <w:t xml:space="preserve"> 2018.</w:t>
            </w:r>
            <w:r w:rsidRPr="005929B3">
              <w:rPr>
                <w:rFonts w:ascii="Arial" w:eastAsia="Times New Roman" w:hAnsi="Arial" w:cs="Arial"/>
                <w:color w:val="222222"/>
                <w:sz w:val="19"/>
                <w:szCs w:val="19"/>
                <w:lang w:eastAsia="el-GR"/>
              </w:rPr>
              <w:t> </w:t>
            </w:r>
            <w:r w:rsidRPr="005929B3">
              <w:rPr>
                <w:rFonts w:ascii="Arial" w:eastAsia="Times New Roman" w:hAnsi="Arial" w:cs="Arial"/>
                <w:b/>
                <w:bCs/>
                <w:color w:val="222222"/>
                <w:sz w:val="19"/>
                <w:szCs w:val="19"/>
                <w:lang w:eastAsia="el-GR"/>
              </w:rPr>
              <w:br/>
            </w:r>
            <w:r w:rsidRPr="005929B3">
              <w:rPr>
                <w:rFonts w:ascii="Arial" w:eastAsia="Times New Roman" w:hAnsi="Arial" w:cs="Arial"/>
                <w:color w:val="222222"/>
                <w:sz w:val="19"/>
                <w:szCs w:val="19"/>
                <w:lang w:eastAsia="el-GR"/>
              </w:rPr>
              <w:br/>
            </w:r>
            <w:r w:rsidRPr="005929B3">
              <w:rPr>
                <w:rFonts w:ascii="Arial" w:eastAsia="Times New Roman" w:hAnsi="Arial" w:cs="Arial"/>
                <w:color w:val="333333"/>
                <w:sz w:val="21"/>
                <w:szCs w:val="21"/>
                <w:lang w:eastAsia="el-GR"/>
              </w:rPr>
              <w:t>Αποδεικνύοντας σταθερά ότι απευθύνεται και καλύπτει μία εντυπωσιακή μερίδα επαγγελματικών κλάδων και επιχειρήσεων, το διεθνές εκθεσιακό δίδυμο βρίσκεται δίπλα και στην τουριστική αγορά, προσκαλώντας τους</w:t>
            </w:r>
            <w:r w:rsidRPr="005929B3">
              <w:rPr>
                <w:rFonts w:ascii="Arial" w:eastAsia="Times New Roman" w:hAnsi="Arial" w:cs="Arial"/>
                <w:color w:val="222222"/>
                <w:sz w:val="19"/>
                <w:szCs w:val="19"/>
                <w:lang w:eastAsia="el-GR"/>
              </w:rPr>
              <w:t> </w:t>
            </w:r>
            <w:r w:rsidRPr="005929B3">
              <w:rPr>
                <w:rFonts w:ascii="Arial" w:eastAsia="Times New Roman" w:hAnsi="Arial" w:cs="Arial"/>
                <w:b/>
                <w:bCs/>
                <w:color w:val="333333"/>
                <w:sz w:val="21"/>
                <w:szCs w:val="21"/>
                <w:lang w:eastAsia="el-GR"/>
              </w:rPr>
              <w:t xml:space="preserve">ιδιοκτήτες ξενοδοχειακών συγκροτημάτων, μεσαίων ξενοδοχείων και τουριστικών διαμερισμάτων καθώς και μικρών </w:t>
            </w:r>
            <w:proofErr w:type="spellStart"/>
            <w:r w:rsidRPr="005929B3">
              <w:rPr>
                <w:rFonts w:ascii="Arial" w:eastAsia="Times New Roman" w:hAnsi="Arial" w:cs="Arial"/>
                <w:b/>
                <w:bCs/>
                <w:color w:val="333333"/>
                <w:sz w:val="21"/>
                <w:szCs w:val="21"/>
                <w:lang w:eastAsia="el-GR"/>
              </w:rPr>
              <w:t>καταλυμάτων</w:t>
            </w:r>
            <w:r w:rsidRPr="005929B3">
              <w:rPr>
                <w:rFonts w:ascii="Arial" w:eastAsia="Times New Roman" w:hAnsi="Arial" w:cs="Arial"/>
                <w:color w:val="333333"/>
                <w:sz w:val="21"/>
                <w:szCs w:val="21"/>
                <w:lang w:eastAsia="el-GR"/>
              </w:rPr>
              <w:t>από</w:t>
            </w:r>
            <w:proofErr w:type="spellEnd"/>
            <w:r w:rsidRPr="005929B3">
              <w:rPr>
                <w:rFonts w:ascii="Arial" w:eastAsia="Times New Roman" w:hAnsi="Arial" w:cs="Arial"/>
                <w:color w:val="333333"/>
                <w:sz w:val="21"/>
                <w:szCs w:val="21"/>
                <w:lang w:eastAsia="el-GR"/>
              </w:rPr>
              <w:t xml:space="preserve"> όλη τη χώρα, να το επισκεφτούν και να ενημερωθούν αναλυτικά </w:t>
            </w:r>
            <w:r w:rsidRPr="005929B3">
              <w:rPr>
                <w:rFonts w:ascii="Arial" w:eastAsia="Times New Roman" w:hAnsi="Arial" w:cs="Arial"/>
                <w:b/>
                <w:bCs/>
                <w:color w:val="333333"/>
                <w:sz w:val="21"/>
                <w:szCs w:val="21"/>
                <w:lang w:eastAsia="el-GR"/>
              </w:rPr>
              <w:t>για τις τελευταίες και καινοτόμες κατασκευαστικές και σχεδιαστικές τάσεις, τις πλέον εξελιγμένες σχετικές τεχνολογικές εφαρμογές και τους πιο αποτελεσματικούς και προσιτούς οικονομικά τρόπους ενεργειακής θωράκισης βιοκλιματικού σχεδιασμού των μονάδων τους.</w:t>
            </w:r>
            <w:r w:rsidRPr="005929B3">
              <w:rPr>
                <w:rFonts w:ascii="Arial" w:eastAsia="Times New Roman" w:hAnsi="Arial" w:cs="Arial"/>
                <w:color w:val="222222"/>
                <w:sz w:val="19"/>
                <w:szCs w:val="19"/>
                <w:lang w:eastAsia="el-GR"/>
              </w:rPr>
              <w:t> </w:t>
            </w:r>
            <w:r w:rsidRPr="005929B3">
              <w:rPr>
                <w:rFonts w:ascii="Arial" w:eastAsia="Times New Roman" w:hAnsi="Arial" w:cs="Arial"/>
                <w:color w:val="222222"/>
                <w:sz w:val="19"/>
                <w:szCs w:val="19"/>
                <w:lang w:eastAsia="el-GR"/>
              </w:rPr>
              <w:br/>
            </w:r>
            <w:r w:rsidRPr="005929B3">
              <w:rPr>
                <w:rFonts w:ascii="Arial" w:eastAsia="Times New Roman" w:hAnsi="Arial" w:cs="Arial"/>
                <w:color w:val="222222"/>
                <w:sz w:val="19"/>
                <w:szCs w:val="19"/>
                <w:lang w:eastAsia="el-GR"/>
              </w:rPr>
              <w:br/>
            </w:r>
            <w:r w:rsidRPr="005929B3">
              <w:rPr>
                <w:rFonts w:ascii="Arial" w:eastAsia="Times New Roman" w:hAnsi="Arial" w:cs="Arial"/>
                <w:color w:val="333333"/>
                <w:sz w:val="21"/>
                <w:szCs w:val="21"/>
                <w:lang w:eastAsia="el-GR"/>
              </w:rPr>
              <w:t>Το σημαντικότερο εκθεσιακό γεγονός στην Αθήνα για τη </w:t>
            </w:r>
            <w:r w:rsidRPr="005929B3">
              <w:rPr>
                <w:rFonts w:ascii="Arial" w:eastAsia="Times New Roman" w:hAnsi="Arial" w:cs="Arial"/>
                <w:b/>
                <w:bCs/>
                <w:color w:val="333333"/>
                <w:sz w:val="21"/>
                <w:szCs w:val="21"/>
                <w:lang w:eastAsia="el-GR"/>
              </w:rPr>
              <w:t>δόμηση, τις κατασκευές και την ενέργεια,</w:t>
            </w:r>
            <w:r w:rsidRPr="005929B3">
              <w:rPr>
                <w:rFonts w:ascii="Arial" w:eastAsia="Times New Roman" w:hAnsi="Arial" w:cs="Arial"/>
                <w:color w:val="333333"/>
                <w:sz w:val="21"/>
                <w:szCs w:val="21"/>
                <w:lang w:eastAsia="el-GR"/>
              </w:rPr>
              <w:t> «αγκαλιάζει» τον τουριστικό κλάδο και συστήνει τις επιχειρήσεις φιλοξενίας με τους πιο χρήσιμους νέους συμμάχους, υπό τη μορφή </w:t>
            </w:r>
            <w:r w:rsidRPr="005929B3">
              <w:rPr>
                <w:rFonts w:ascii="Arial" w:eastAsia="Times New Roman" w:hAnsi="Arial" w:cs="Arial"/>
                <w:b/>
                <w:bCs/>
                <w:color w:val="333333"/>
                <w:sz w:val="21"/>
                <w:szCs w:val="21"/>
                <w:lang w:eastAsia="el-GR"/>
              </w:rPr>
              <w:t>νέων προϊόντων, τεχνικών, τάσεων και τεχνολογικών εξελίξεων,</w:t>
            </w:r>
            <w:r w:rsidRPr="005929B3">
              <w:rPr>
                <w:rFonts w:ascii="Arial" w:eastAsia="Times New Roman" w:hAnsi="Arial" w:cs="Arial"/>
                <w:color w:val="222222"/>
                <w:sz w:val="19"/>
                <w:szCs w:val="19"/>
                <w:lang w:eastAsia="el-GR"/>
              </w:rPr>
              <w:t> </w:t>
            </w:r>
            <w:r w:rsidRPr="005929B3">
              <w:rPr>
                <w:rFonts w:ascii="Arial" w:eastAsia="Times New Roman" w:hAnsi="Arial" w:cs="Arial"/>
                <w:color w:val="333333"/>
                <w:sz w:val="21"/>
                <w:szCs w:val="21"/>
                <w:lang w:eastAsia="el-GR"/>
              </w:rPr>
              <w:t>δημιουργώντας ως εκ τούτου τις κατάλληλες προϋποθέσεις για την «εκτίναξή» τους, εν μέσω της δεδομένα αυξημένης τουριστικής κίνησης τα τελευταία χρόνια.</w:t>
            </w:r>
          </w:p>
        </w:tc>
      </w:tr>
      <w:tr w:rsidR="005929B3" w:rsidRPr="005929B3" w:rsidTr="005929B3">
        <w:trPr>
          <w:tblCellSpacing w:w="15" w:type="dxa"/>
          <w:jc w:val="center"/>
        </w:trPr>
        <w:tc>
          <w:tcPr>
            <w:tcW w:w="0" w:type="auto"/>
            <w:shd w:val="clear" w:color="auto" w:fill="FFFFFF"/>
            <w:vAlign w:val="center"/>
            <w:hideMark/>
          </w:tcPr>
          <w:tbl>
            <w:tblPr>
              <w:tblW w:w="7905" w:type="dxa"/>
              <w:jc w:val="center"/>
              <w:tblCellSpacing w:w="15" w:type="dxa"/>
              <w:tblCellMar>
                <w:top w:w="15" w:type="dxa"/>
                <w:left w:w="15" w:type="dxa"/>
                <w:bottom w:w="15" w:type="dxa"/>
                <w:right w:w="15" w:type="dxa"/>
              </w:tblCellMar>
              <w:tblLook w:val="04A0" w:firstRow="1" w:lastRow="0" w:firstColumn="1" w:lastColumn="0" w:noHBand="0" w:noVBand="1"/>
            </w:tblPr>
            <w:tblGrid>
              <w:gridCol w:w="3745"/>
              <w:gridCol w:w="415"/>
              <w:gridCol w:w="3745"/>
            </w:tblGrid>
            <w:tr w:rsidR="005929B3" w:rsidRPr="005929B3">
              <w:trPr>
                <w:trHeight w:val="660"/>
                <w:tblCellSpacing w:w="15" w:type="dxa"/>
                <w:jc w:val="center"/>
              </w:trPr>
              <w:tc>
                <w:tcPr>
                  <w:tcW w:w="3600" w:type="dxa"/>
                  <w:shd w:val="clear" w:color="auto" w:fill="666666"/>
                  <w:vAlign w:val="center"/>
                  <w:hideMark/>
                </w:tcPr>
                <w:p w:rsidR="005929B3" w:rsidRPr="005929B3" w:rsidRDefault="005929B3" w:rsidP="005929B3">
                  <w:pPr>
                    <w:spacing w:after="0" w:line="240" w:lineRule="auto"/>
                    <w:jc w:val="center"/>
                    <w:rPr>
                      <w:rFonts w:ascii="Arial" w:eastAsia="Times New Roman" w:hAnsi="Arial" w:cs="Arial"/>
                      <w:sz w:val="24"/>
                      <w:szCs w:val="24"/>
                      <w:lang w:eastAsia="el-GR"/>
                    </w:rPr>
                  </w:pPr>
                  <w:hyperlink r:id="rId5" w:tgtFrame="_blank" w:history="1">
                    <w:r w:rsidRPr="005929B3">
                      <w:rPr>
                        <w:rFonts w:ascii="Arial" w:eastAsia="Times New Roman" w:hAnsi="Arial" w:cs="Arial"/>
                        <w:color w:val="FFFFFF"/>
                        <w:sz w:val="21"/>
                        <w:szCs w:val="21"/>
                        <w:u w:val="single"/>
                        <w:lang w:eastAsia="el-GR"/>
                      </w:rPr>
                      <w:t xml:space="preserve">Περισσότερα για την </w:t>
                    </w:r>
                    <w:proofErr w:type="spellStart"/>
                    <w:r w:rsidRPr="005929B3">
                      <w:rPr>
                        <w:rFonts w:ascii="Arial" w:eastAsia="Times New Roman" w:hAnsi="Arial" w:cs="Arial"/>
                        <w:color w:val="FFFFFF"/>
                        <w:sz w:val="21"/>
                        <w:szCs w:val="21"/>
                        <w:u w:val="single"/>
                        <w:lang w:eastAsia="el-GR"/>
                      </w:rPr>
                      <w:t>Infacoma</w:t>
                    </w:r>
                    <w:proofErr w:type="spellEnd"/>
                    <w:r w:rsidRPr="005929B3">
                      <w:rPr>
                        <w:rFonts w:ascii="Arial" w:eastAsia="Times New Roman" w:hAnsi="Arial" w:cs="Arial"/>
                        <w:color w:val="FFFFFF"/>
                        <w:sz w:val="21"/>
                        <w:szCs w:val="21"/>
                        <w:u w:val="single"/>
                        <w:lang w:eastAsia="el-GR"/>
                      </w:rPr>
                      <w:t> </w:t>
                    </w:r>
                    <w:r w:rsidRPr="005929B3">
                      <w:rPr>
                        <w:rFonts w:ascii="Arial" w:eastAsia="Times New Roman" w:hAnsi="Arial" w:cs="Arial"/>
                        <w:color w:val="FFFFFF"/>
                        <w:sz w:val="21"/>
                        <w:szCs w:val="21"/>
                        <w:u w:val="single"/>
                        <w:lang w:eastAsia="el-GR"/>
                      </w:rPr>
                      <w:br/>
                    </w:r>
                    <w:proofErr w:type="spellStart"/>
                    <w:r w:rsidRPr="005929B3">
                      <w:rPr>
                        <w:rFonts w:ascii="Arial" w:eastAsia="Times New Roman" w:hAnsi="Arial" w:cs="Arial"/>
                        <w:color w:val="FFFFFF"/>
                        <w:sz w:val="21"/>
                        <w:szCs w:val="21"/>
                        <w:u w:val="single"/>
                        <w:lang w:eastAsia="el-GR"/>
                      </w:rPr>
                      <w:t>Athens</w:t>
                    </w:r>
                    <w:proofErr w:type="spellEnd"/>
                  </w:hyperlink>
                </w:p>
              </w:tc>
              <w:tc>
                <w:tcPr>
                  <w:tcW w:w="375" w:type="dxa"/>
                  <w:vAlign w:val="center"/>
                  <w:hideMark/>
                </w:tcPr>
                <w:p w:rsidR="005929B3" w:rsidRPr="005929B3" w:rsidRDefault="005929B3" w:rsidP="005929B3">
                  <w:pPr>
                    <w:spacing w:after="0" w:line="240" w:lineRule="auto"/>
                    <w:rPr>
                      <w:rFonts w:ascii="Arial" w:eastAsia="Times New Roman" w:hAnsi="Arial" w:cs="Arial"/>
                      <w:sz w:val="24"/>
                      <w:szCs w:val="24"/>
                      <w:lang w:eastAsia="el-GR"/>
                    </w:rPr>
                  </w:pPr>
                  <w:r w:rsidRPr="005929B3">
                    <w:rPr>
                      <w:rFonts w:ascii="Arial" w:eastAsia="Times New Roman" w:hAnsi="Arial" w:cs="Arial"/>
                      <w:sz w:val="24"/>
                      <w:szCs w:val="24"/>
                      <w:lang w:eastAsia="el-GR"/>
                    </w:rPr>
                    <w:t> </w:t>
                  </w:r>
                </w:p>
              </w:tc>
              <w:tc>
                <w:tcPr>
                  <w:tcW w:w="3600" w:type="dxa"/>
                  <w:shd w:val="clear" w:color="auto" w:fill="666666"/>
                  <w:vAlign w:val="center"/>
                  <w:hideMark/>
                </w:tcPr>
                <w:p w:rsidR="005929B3" w:rsidRPr="005929B3" w:rsidRDefault="005929B3" w:rsidP="005929B3">
                  <w:pPr>
                    <w:spacing w:after="0" w:line="240" w:lineRule="auto"/>
                    <w:jc w:val="center"/>
                    <w:rPr>
                      <w:rFonts w:ascii="Arial" w:eastAsia="Times New Roman" w:hAnsi="Arial" w:cs="Arial"/>
                      <w:sz w:val="24"/>
                      <w:szCs w:val="24"/>
                      <w:lang w:eastAsia="el-GR"/>
                    </w:rPr>
                  </w:pPr>
                  <w:hyperlink r:id="rId6" w:tgtFrame="_blank" w:history="1">
                    <w:r w:rsidRPr="005929B3">
                      <w:rPr>
                        <w:rFonts w:ascii="Arial" w:eastAsia="Times New Roman" w:hAnsi="Arial" w:cs="Arial"/>
                        <w:color w:val="FFFFFF"/>
                        <w:sz w:val="21"/>
                        <w:szCs w:val="21"/>
                        <w:u w:val="single"/>
                        <w:lang w:eastAsia="el-GR"/>
                      </w:rPr>
                      <w:t xml:space="preserve">Περισσότερα για την </w:t>
                    </w:r>
                    <w:proofErr w:type="spellStart"/>
                    <w:r w:rsidRPr="005929B3">
                      <w:rPr>
                        <w:rFonts w:ascii="Arial" w:eastAsia="Times New Roman" w:hAnsi="Arial" w:cs="Arial"/>
                        <w:color w:val="FFFFFF"/>
                        <w:sz w:val="21"/>
                        <w:szCs w:val="21"/>
                        <w:u w:val="single"/>
                        <w:lang w:eastAsia="el-GR"/>
                      </w:rPr>
                      <w:t>Aquatherm</w:t>
                    </w:r>
                    <w:proofErr w:type="spellEnd"/>
                    <w:r w:rsidRPr="005929B3">
                      <w:rPr>
                        <w:rFonts w:ascii="Arial" w:eastAsia="Times New Roman" w:hAnsi="Arial" w:cs="Arial"/>
                        <w:color w:val="FFFFFF"/>
                        <w:sz w:val="21"/>
                        <w:szCs w:val="21"/>
                        <w:u w:val="single"/>
                        <w:lang w:eastAsia="el-GR"/>
                      </w:rPr>
                      <w:t> </w:t>
                    </w:r>
                    <w:r w:rsidRPr="005929B3">
                      <w:rPr>
                        <w:rFonts w:ascii="Arial" w:eastAsia="Times New Roman" w:hAnsi="Arial" w:cs="Arial"/>
                        <w:color w:val="FFFFFF"/>
                        <w:sz w:val="21"/>
                        <w:szCs w:val="21"/>
                        <w:u w:val="single"/>
                        <w:lang w:eastAsia="el-GR"/>
                      </w:rPr>
                      <w:br/>
                    </w:r>
                    <w:proofErr w:type="spellStart"/>
                    <w:r w:rsidRPr="005929B3">
                      <w:rPr>
                        <w:rFonts w:ascii="Arial" w:eastAsia="Times New Roman" w:hAnsi="Arial" w:cs="Arial"/>
                        <w:color w:val="FFFFFF"/>
                        <w:sz w:val="21"/>
                        <w:szCs w:val="21"/>
                        <w:u w:val="single"/>
                        <w:lang w:eastAsia="el-GR"/>
                      </w:rPr>
                      <w:t>Athens</w:t>
                    </w:r>
                    <w:proofErr w:type="spellEnd"/>
                  </w:hyperlink>
                </w:p>
              </w:tc>
            </w:tr>
          </w:tbl>
          <w:p w:rsidR="005929B3" w:rsidRPr="005929B3" w:rsidRDefault="005929B3" w:rsidP="005929B3">
            <w:pPr>
              <w:spacing w:after="0" w:line="240" w:lineRule="auto"/>
              <w:jc w:val="center"/>
              <w:rPr>
                <w:rFonts w:ascii="Arial" w:eastAsia="Times New Roman" w:hAnsi="Arial" w:cs="Arial"/>
                <w:color w:val="222222"/>
                <w:sz w:val="19"/>
                <w:szCs w:val="19"/>
                <w:lang w:eastAsia="el-GR"/>
              </w:rPr>
            </w:pPr>
          </w:p>
        </w:tc>
      </w:tr>
      <w:tr w:rsidR="005929B3" w:rsidRPr="005929B3" w:rsidTr="005929B3">
        <w:trPr>
          <w:trHeight w:val="5370"/>
          <w:tblCellSpacing w:w="15" w:type="dxa"/>
          <w:jc w:val="center"/>
        </w:trPr>
        <w:tc>
          <w:tcPr>
            <w:tcW w:w="0" w:type="auto"/>
            <w:shd w:val="clear" w:color="auto" w:fill="FFFFFF"/>
            <w:vAlign w:val="center"/>
            <w:hideMark/>
          </w:tcPr>
          <w:p w:rsidR="005929B3" w:rsidRPr="005929B3" w:rsidRDefault="005929B3" w:rsidP="005929B3">
            <w:pPr>
              <w:spacing w:after="0" w:line="240" w:lineRule="auto"/>
              <w:jc w:val="center"/>
              <w:rPr>
                <w:rFonts w:ascii="Arial" w:eastAsia="Times New Roman" w:hAnsi="Arial" w:cs="Arial"/>
                <w:color w:val="222222"/>
                <w:sz w:val="19"/>
                <w:szCs w:val="19"/>
                <w:lang w:eastAsia="el-GR"/>
              </w:rPr>
            </w:pPr>
            <w:r w:rsidRPr="005929B3">
              <w:rPr>
                <w:rFonts w:ascii="Arial" w:eastAsia="Times New Roman" w:hAnsi="Arial" w:cs="Arial"/>
                <w:noProof/>
                <w:color w:val="1155CC"/>
                <w:sz w:val="19"/>
                <w:szCs w:val="19"/>
                <w:lang w:eastAsia="el-GR"/>
              </w:rPr>
              <w:drawing>
                <wp:inline distT="0" distB="0" distL="0" distR="0" wp14:anchorId="5D634A0C" wp14:editId="451CA14D">
                  <wp:extent cx="5520690" cy="3200400"/>
                  <wp:effectExtent l="0" t="0" r="3810" b="0"/>
                  <wp:docPr id="1" name="Εικόνα 1" descr="https://ci6.googleusercontent.com/proxy/8b61C2w3hGFOEvASA5f1sRbJM6vZOivBN9uQGBT_Mq-_YMCmZ7-IovsCNp3nter0LOdYxjY4JDwuAW9QJYP-NWqd6P1V=s0-d-e1-ft#http://z3dn.r.bh.d.sendibt3.com/7tj8m86et3e.jpg">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6.googleusercontent.com/proxy/8b61C2w3hGFOEvASA5f1sRbJM6vZOivBN9uQGBT_Mq-_YMCmZ7-IovsCNp3nter0LOdYxjY4JDwuAW9QJYP-NWqd6P1V=s0-d-e1-ft#http://z3dn.r.bh.d.sendibt3.com/7tj8m86et3e.jpg">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0690" cy="3200400"/>
                          </a:xfrm>
                          <a:prstGeom prst="rect">
                            <a:avLst/>
                          </a:prstGeom>
                          <a:noFill/>
                          <a:ln>
                            <a:noFill/>
                          </a:ln>
                        </pic:spPr>
                      </pic:pic>
                    </a:graphicData>
                  </a:graphic>
                </wp:inline>
              </w:drawing>
            </w:r>
          </w:p>
        </w:tc>
      </w:tr>
      <w:tr w:rsidR="005929B3" w:rsidRPr="005929B3" w:rsidTr="005929B3">
        <w:trPr>
          <w:trHeight w:val="6435"/>
          <w:tblCellSpacing w:w="15" w:type="dxa"/>
          <w:jc w:val="center"/>
        </w:trPr>
        <w:tc>
          <w:tcPr>
            <w:tcW w:w="0" w:type="auto"/>
            <w:shd w:val="clear" w:color="auto" w:fill="FFFFFF"/>
            <w:vAlign w:val="bottom"/>
            <w:hideMark/>
          </w:tcPr>
          <w:tbl>
            <w:tblPr>
              <w:tblW w:w="8295" w:type="dxa"/>
              <w:jc w:val="center"/>
              <w:tblCellSpacing w:w="15" w:type="dxa"/>
              <w:tblCellMar>
                <w:top w:w="15" w:type="dxa"/>
                <w:left w:w="15" w:type="dxa"/>
                <w:bottom w:w="15" w:type="dxa"/>
                <w:right w:w="15" w:type="dxa"/>
              </w:tblCellMar>
              <w:tblLook w:val="04A0" w:firstRow="1" w:lastRow="0" w:firstColumn="1" w:lastColumn="0" w:noHBand="0" w:noVBand="1"/>
            </w:tblPr>
            <w:tblGrid>
              <w:gridCol w:w="8295"/>
            </w:tblGrid>
            <w:tr w:rsidR="005929B3" w:rsidRPr="005929B3">
              <w:trPr>
                <w:trHeight w:val="5460"/>
                <w:tblCellSpacing w:w="15" w:type="dxa"/>
                <w:jc w:val="center"/>
              </w:trPr>
              <w:tc>
                <w:tcPr>
                  <w:tcW w:w="8205" w:type="dxa"/>
                  <w:vAlign w:val="center"/>
                  <w:hideMark/>
                </w:tcPr>
                <w:p w:rsidR="005929B3" w:rsidRPr="005929B3" w:rsidRDefault="005929B3" w:rsidP="005929B3">
                  <w:pPr>
                    <w:spacing w:after="0" w:line="240" w:lineRule="auto"/>
                    <w:rPr>
                      <w:rFonts w:ascii="Arial" w:eastAsia="Times New Roman" w:hAnsi="Arial" w:cs="Arial"/>
                      <w:sz w:val="24"/>
                      <w:szCs w:val="24"/>
                      <w:lang w:eastAsia="el-GR"/>
                    </w:rPr>
                  </w:pPr>
                  <w:r w:rsidRPr="005929B3">
                    <w:rPr>
                      <w:rFonts w:ascii="Arial" w:eastAsia="Times New Roman" w:hAnsi="Arial" w:cs="Arial"/>
                      <w:color w:val="333333"/>
                      <w:sz w:val="21"/>
                      <w:szCs w:val="21"/>
                      <w:lang w:eastAsia="el-GR"/>
                    </w:rPr>
                    <w:lastRenderedPageBreak/>
                    <w:t>Οι</w:t>
                  </w:r>
                  <w:r w:rsidRPr="005929B3">
                    <w:rPr>
                      <w:rFonts w:ascii="Arial" w:eastAsia="Times New Roman" w:hAnsi="Arial" w:cs="Arial"/>
                      <w:sz w:val="24"/>
                      <w:szCs w:val="24"/>
                      <w:lang w:eastAsia="el-GR"/>
                    </w:rPr>
                    <w:t> </w:t>
                  </w:r>
                  <w:proofErr w:type="spellStart"/>
                  <w:r w:rsidRPr="005929B3">
                    <w:rPr>
                      <w:rFonts w:ascii="Arial" w:eastAsia="Times New Roman" w:hAnsi="Arial" w:cs="Arial"/>
                      <w:b/>
                      <w:bCs/>
                      <w:color w:val="333333"/>
                      <w:sz w:val="21"/>
                      <w:szCs w:val="21"/>
                      <w:lang w:eastAsia="el-GR"/>
                    </w:rPr>
                    <w:t>Infacoma</w:t>
                  </w:r>
                  <w:proofErr w:type="spellEnd"/>
                  <w:r w:rsidRPr="005929B3">
                    <w:rPr>
                      <w:rFonts w:ascii="Arial" w:eastAsia="Times New Roman" w:hAnsi="Arial" w:cs="Arial"/>
                      <w:b/>
                      <w:bCs/>
                      <w:color w:val="333333"/>
                      <w:sz w:val="21"/>
                      <w:szCs w:val="21"/>
                      <w:lang w:eastAsia="el-GR"/>
                    </w:rPr>
                    <w:t xml:space="preserve"> &amp; </w:t>
                  </w:r>
                  <w:proofErr w:type="spellStart"/>
                  <w:r w:rsidRPr="005929B3">
                    <w:rPr>
                      <w:rFonts w:ascii="Arial" w:eastAsia="Times New Roman" w:hAnsi="Arial" w:cs="Arial"/>
                      <w:b/>
                      <w:bCs/>
                      <w:color w:val="333333"/>
                      <w:sz w:val="21"/>
                      <w:szCs w:val="21"/>
                      <w:lang w:eastAsia="el-GR"/>
                    </w:rPr>
                    <w:t>Aquatherm</w:t>
                  </w:r>
                  <w:proofErr w:type="spellEnd"/>
                  <w:r w:rsidRPr="005929B3">
                    <w:rPr>
                      <w:rFonts w:ascii="Arial" w:eastAsia="Times New Roman" w:hAnsi="Arial" w:cs="Arial"/>
                      <w:b/>
                      <w:bCs/>
                      <w:color w:val="333333"/>
                      <w:sz w:val="21"/>
                      <w:szCs w:val="21"/>
                      <w:lang w:eastAsia="el-GR"/>
                    </w:rPr>
                    <w:t xml:space="preserve"> </w:t>
                  </w:r>
                  <w:proofErr w:type="spellStart"/>
                  <w:r w:rsidRPr="005929B3">
                    <w:rPr>
                      <w:rFonts w:ascii="Arial" w:eastAsia="Times New Roman" w:hAnsi="Arial" w:cs="Arial"/>
                      <w:b/>
                      <w:bCs/>
                      <w:color w:val="333333"/>
                      <w:sz w:val="21"/>
                      <w:szCs w:val="21"/>
                      <w:lang w:eastAsia="el-GR"/>
                    </w:rPr>
                    <w:t>Athens</w:t>
                  </w:r>
                  <w:proofErr w:type="spellEnd"/>
                  <w:r w:rsidRPr="005929B3">
                    <w:rPr>
                      <w:rFonts w:ascii="Arial" w:eastAsia="Times New Roman" w:hAnsi="Arial" w:cs="Arial"/>
                      <w:b/>
                      <w:bCs/>
                      <w:color w:val="333333"/>
                      <w:sz w:val="21"/>
                      <w:szCs w:val="21"/>
                      <w:lang w:eastAsia="el-GR"/>
                    </w:rPr>
                    <w:t xml:space="preserve"> 2018,</w:t>
                  </w:r>
                  <w:r w:rsidRPr="005929B3">
                    <w:rPr>
                      <w:rFonts w:ascii="Arial" w:eastAsia="Times New Roman" w:hAnsi="Arial" w:cs="Arial"/>
                      <w:color w:val="333333"/>
                      <w:sz w:val="21"/>
                      <w:szCs w:val="21"/>
                      <w:lang w:eastAsia="el-GR"/>
                    </w:rPr>
                    <w:t> υποστηρίζονται από ένα πλήρες πρόγραμμα διαφημιστικής προβολής, μέσω έντυπων και ηλεκτρονικών μέσων, τόσο στην Ελλάδα όσο και το εξωτερικό.</w:t>
                  </w:r>
                  <w:r w:rsidRPr="005929B3">
                    <w:rPr>
                      <w:rFonts w:ascii="Arial" w:eastAsia="Times New Roman" w:hAnsi="Arial" w:cs="Arial"/>
                      <w:color w:val="333333"/>
                      <w:sz w:val="21"/>
                      <w:szCs w:val="21"/>
                      <w:lang w:eastAsia="el-GR"/>
                    </w:rPr>
                    <w:br/>
                  </w:r>
                  <w:r w:rsidRPr="005929B3">
                    <w:rPr>
                      <w:rFonts w:ascii="Arial" w:eastAsia="Times New Roman" w:hAnsi="Arial" w:cs="Arial"/>
                      <w:color w:val="333333"/>
                      <w:sz w:val="21"/>
                      <w:szCs w:val="21"/>
                      <w:lang w:eastAsia="el-GR"/>
                    </w:rPr>
                    <w:br/>
                    <w:t>Η επικοινωνιακή τους στρατηγική επικεντρώνεται</w:t>
                  </w:r>
                  <w:r w:rsidRPr="005929B3">
                    <w:rPr>
                      <w:rFonts w:ascii="Arial" w:eastAsia="Times New Roman" w:hAnsi="Arial" w:cs="Arial"/>
                      <w:b/>
                      <w:bCs/>
                      <w:color w:val="333333"/>
                      <w:sz w:val="21"/>
                      <w:szCs w:val="21"/>
                      <w:lang w:eastAsia="el-GR"/>
                    </w:rPr>
                    <w:t xml:space="preserve"> στο ευρύ κοινό, τους επαγγελματίες των σχετικών κλάδων καθώς και τους υποψήφιους </w:t>
                  </w:r>
                  <w:proofErr w:type="spellStart"/>
                  <w:r w:rsidRPr="005929B3">
                    <w:rPr>
                      <w:rFonts w:ascii="Arial" w:eastAsia="Times New Roman" w:hAnsi="Arial" w:cs="Arial"/>
                      <w:b/>
                      <w:bCs/>
                      <w:color w:val="333333"/>
                      <w:sz w:val="21"/>
                      <w:szCs w:val="21"/>
                      <w:lang w:eastAsia="el-GR"/>
                    </w:rPr>
                    <w:t>hosted</w:t>
                  </w:r>
                  <w:proofErr w:type="spellEnd"/>
                  <w:r w:rsidRPr="005929B3">
                    <w:rPr>
                      <w:rFonts w:ascii="Arial" w:eastAsia="Times New Roman" w:hAnsi="Arial" w:cs="Arial"/>
                      <w:b/>
                      <w:bCs/>
                      <w:color w:val="333333"/>
                      <w:sz w:val="21"/>
                      <w:szCs w:val="21"/>
                      <w:lang w:eastAsia="el-GR"/>
                    </w:rPr>
                    <w:t xml:space="preserve"> </w:t>
                  </w:r>
                  <w:proofErr w:type="spellStart"/>
                  <w:r w:rsidRPr="005929B3">
                    <w:rPr>
                      <w:rFonts w:ascii="Arial" w:eastAsia="Times New Roman" w:hAnsi="Arial" w:cs="Arial"/>
                      <w:b/>
                      <w:bCs/>
                      <w:color w:val="333333"/>
                      <w:sz w:val="21"/>
                      <w:szCs w:val="21"/>
                      <w:lang w:eastAsia="el-GR"/>
                    </w:rPr>
                    <w:t>buyers</w:t>
                  </w:r>
                  <w:proofErr w:type="spellEnd"/>
                  <w:r w:rsidRPr="005929B3">
                    <w:rPr>
                      <w:rFonts w:ascii="Arial" w:eastAsia="Times New Roman" w:hAnsi="Arial" w:cs="Arial"/>
                      <w:color w:val="333333"/>
                      <w:sz w:val="21"/>
                      <w:szCs w:val="21"/>
                      <w:lang w:eastAsia="el-GR"/>
                    </w:rPr>
                    <w:t xml:space="preserve"> και η προώθησή τους θα πραγματοποιηθεί μέσω όλων των παραδοσιακών και σύγχρονων ΜΜΕ, όπως την τηλεόραση, το ραδιόφωνο, τις εφημερίδες, τα περιοδικά, τον κλαδικό τύπο, τους ειδικούς αρθρογράφους, καθώς και με τη βοήθεια έντυπου υλικού, </w:t>
                  </w:r>
                  <w:proofErr w:type="spellStart"/>
                  <w:r w:rsidRPr="005929B3">
                    <w:rPr>
                      <w:rFonts w:ascii="Arial" w:eastAsia="Times New Roman" w:hAnsi="Arial" w:cs="Arial"/>
                      <w:color w:val="333333"/>
                      <w:sz w:val="21"/>
                      <w:szCs w:val="21"/>
                      <w:lang w:eastAsia="el-GR"/>
                    </w:rPr>
                    <w:t>outdoor</w:t>
                  </w:r>
                  <w:proofErr w:type="spellEnd"/>
                  <w:r w:rsidRPr="005929B3">
                    <w:rPr>
                      <w:rFonts w:ascii="Arial" w:eastAsia="Times New Roman" w:hAnsi="Arial" w:cs="Arial"/>
                      <w:color w:val="333333"/>
                      <w:sz w:val="21"/>
                      <w:szCs w:val="21"/>
                      <w:lang w:eastAsia="el-GR"/>
                    </w:rPr>
                    <w:t xml:space="preserve"> διαφημίσεων και ασφαλώς του διαδικτύου και των </w:t>
                  </w:r>
                  <w:proofErr w:type="spellStart"/>
                  <w:r w:rsidRPr="005929B3">
                    <w:rPr>
                      <w:rFonts w:ascii="Arial" w:eastAsia="Times New Roman" w:hAnsi="Arial" w:cs="Arial"/>
                      <w:color w:val="333333"/>
                      <w:sz w:val="21"/>
                      <w:szCs w:val="21"/>
                      <w:lang w:eastAsia="el-GR"/>
                    </w:rPr>
                    <w:t>Social</w:t>
                  </w:r>
                  <w:proofErr w:type="spellEnd"/>
                  <w:r w:rsidRPr="005929B3">
                    <w:rPr>
                      <w:rFonts w:ascii="Arial" w:eastAsia="Times New Roman" w:hAnsi="Arial" w:cs="Arial"/>
                      <w:color w:val="333333"/>
                      <w:sz w:val="21"/>
                      <w:szCs w:val="21"/>
                      <w:lang w:eastAsia="el-GR"/>
                    </w:rPr>
                    <w:t xml:space="preserve"> </w:t>
                  </w:r>
                  <w:proofErr w:type="spellStart"/>
                  <w:r w:rsidRPr="005929B3">
                    <w:rPr>
                      <w:rFonts w:ascii="Arial" w:eastAsia="Times New Roman" w:hAnsi="Arial" w:cs="Arial"/>
                      <w:color w:val="333333"/>
                      <w:sz w:val="21"/>
                      <w:szCs w:val="21"/>
                      <w:lang w:eastAsia="el-GR"/>
                    </w:rPr>
                    <w:t>Media</w:t>
                  </w:r>
                  <w:proofErr w:type="spellEnd"/>
                  <w:r w:rsidRPr="005929B3">
                    <w:rPr>
                      <w:rFonts w:ascii="Arial" w:eastAsia="Times New Roman" w:hAnsi="Arial" w:cs="Arial"/>
                      <w:color w:val="333333"/>
                      <w:sz w:val="21"/>
                      <w:szCs w:val="21"/>
                      <w:lang w:eastAsia="el-GR"/>
                    </w:rPr>
                    <w:t>.</w:t>
                  </w:r>
                  <w:r w:rsidRPr="005929B3">
                    <w:rPr>
                      <w:rFonts w:ascii="Arial" w:eastAsia="Times New Roman" w:hAnsi="Arial" w:cs="Arial"/>
                      <w:color w:val="333333"/>
                      <w:sz w:val="21"/>
                      <w:szCs w:val="21"/>
                      <w:lang w:eastAsia="el-GR"/>
                    </w:rPr>
                    <w:br/>
                  </w:r>
                  <w:r w:rsidRPr="005929B3">
                    <w:rPr>
                      <w:rFonts w:ascii="Arial" w:eastAsia="Times New Roman" w:hAnsi="Arial" w:cs="Arial"/>
                      <w:color w:val="333333"/>
                      <w:sz w:val="21"/>
                      <w:szCs w:val="21"/>
                      <w:lang w:eastAsia="el-GR"/>
                    </w:rPr>
                    <w:br/>
                    <w:t>Όραμα των διοργανωτών είναι οι</w:t>
                  </w:r>
                  <w:r w:rsidRPr="005929B3">
                    <w:rPr>
                      <w:rFonts w:ascii="Arial" w:eastAsia="Times New Roman" w:hAnsi="Arial" w:cs="Arial"/>
                      <w:b/>
                      <w:bCs/>
                      <w:color w:val="333333"/>
                      <w:sz w:val="21"/>
                      <w:szCs w:val="21"/>
                      <w:lang w:eastAsia="el-GR"/>
                    </w:rPr>
                    <w:t> </w:t>
                  </w:r>
                  <w:proofErr w:type="spellStart"/>
                  <w:r w:rsidRPr="005929B3">
                    <w:rPr>
                      <w:rFonts w:ascii="Arial" w:eastAsia="Times New Roman" w:hAnsi="Arial" w:cs="Arial"/>
                      <w:b/>
                      <w:bCs/>
                      <w:color w:val="333333"/>
                      <w:sz w:val="21"/>
                      <w:szCs w:val="21"/>
                      <w:lang w:eastAsia="el-GR"/>
                    </w:rPr>
                    <w:t>Infacoma</w:t>
                  </w:r>
                  <w:proofErr w:type="spellEnd"/>
                  <w:r w:rsidRPr="005929B3">
                    <w:rPr>
                      <w:rFonts w:ascii="Arial" w:eastAsia="Times New Roman" w:hAnsi="Arial" w:cs="Arial"/>
                      <w:b/>
                      <w:bCs/>
                      <w:color w:val="333333"/>
                      <w:sz w:val="21"/>
                      <w:szCs w:val="21"/>
                      <w:lang w:eastAsia="el-GR"/>
                    </w:rPr>
                    <w:t xml:space="preserve"> &amp; </w:t>
                  </w:r>
                  <w:proofErr w:type="spellStart"/>
                  <w:r w:rsidRPr="005929B3">
                    <w:rPr>
                      <w:rFonts w:ascii="Arial" w:eastAsia="Times New Roman" w:hAnsi="Arial" w:cs="Arial"/>
                      <w:b/>
                      <w:bCs/>
                      <w:color w:val="333333"/>
                      <w:sz w:val="21"/>
                      <w:szCs w:val="21"/>
                      <w:lang w:eastAsia="el-GR"/>
                    </w:rPr>
                    <w:t>Aquatherm</w:t>
                  </w:r>
                  <w:proofErr w:type="spellEnd"/>
                  <w:r w:rsidRPr="005929B3">
                    <w:rPr>
                      <w:rFonts w:ascii="Arial" w:eastAsia="Times New Roman" w:hAnsi="Arial" w:cs="Arial"/>
                      <w:b/>
                      <w:bCs/>
                      <w:color w:val="333333"/>
                      <w:sz w:val="21"/>
                      <w:szCs w:val="21"/>
                      <w:lang w:eastAsia="el-GR"/>
                    </w:rPr>
                    <w:t xml:space="preserve"> </w:t>
                  </w:r>
                  <w:proofErr w:type="spellStart"/>
                  <w:r w:rsidRPr="005929B3">
                    <w:rPr>
                      <w:rFonts w:ascii="Arial" w:eastAsia="Times New Roman" w:hAnsi="Arial" w:cs="Arial"/>
                      <w:b/>
                      <w:bCs/>
                      <w:color w:val="333333"/>
                      <w:sz w:val="21"/>
                      <w:szCs w:val="21"/>
                      <w:lang w:eastAsia="el-GR"/>
                    </w:rPr>
                    <w:t>Athens</w:t>
                  </w:r>
                  <w:proofErr w:type="spellEnd"/>
                  <w:r w:rsidRPr="005929B3">
                    <w:rPr>
                      <w:rFonts w:ascii="Arial" w:eastAsia="Times New Roman" w:hAnsi="Arial" w:cs="Arial"/>
                      <w:b/>
                      <w:bCs/>
                      <w:color w:val="333333"/>
                      <w:sz w:val="21"/>
                      <w:szCs w:val="21"/>
                      <w:lang w:eastAsia="el-GR"/>
                    </w:rPr>
                    <w:t xml:space="preserve"> 2018</w:t>
                  </w:r>
                  <w:r w:rsidRPr="005929B3">
                    <w:rPr>
                      <w:rFonts w:ascii="Arial" w:eastAsia="Times New Roman" w:hAnsi="Arial" w:cs="Arial"/>
                      <w:color w:val="333333"/>
                      <w:sz w:val="21"/>
                      <w:szCs w:val="21"/>
                      <w:lang w:eastAsia="el-GR"/>
                    </w:rPr>
                    <w:t> να αποτελέσουν</w:t>
                  </w:r>
                  <w:r w:rsidRPr="005929B3">
                    <w:rPr>
                      <w:rFonts w:ascii="Arial" w:eastAsia="Times New Roman" w:hAnsi="Arial" w:cs="Arial"/>
                      <w:b/>
                      <w:bCs/>
                      <w:color w:val="333333"/>
                      <w:sz w:val="21"/>
                      <w:szCs w:val="21"/>
                      <w:lang w:eastAsia="el-GR"/>
                    </w:rPr>
                    <w:t> διεθνές σημείο αναφοράς,</w:t>
                  </w:r>
                  <w:r w:rsidRPr="005929B3">
                    <w:rPr>
                      <w:rFonts w:ascii="Arial" w:eastAsia="Times New Roman" w:hAnsi="Arial" w:cs="Arial"/>
                      <w:sz w:val="24"/>
                      <w:szCs w:val="24"/>
                      <w:lang w:eastAsia="el-GR"/>
                    </w:rPr>
                    <w:t> </w:t>
                  </w:r>
                  <w:r w:rsidRPr="005929B3">
                    <w:rPr>
                      <w:rFonts w:ascii="Arial" w:eastAsia="Times New Roman" w:hAnsi="Arial" w:cs="Arial"/>
                      <w:color w:val="333333"/>
                      <w:sz w:val="21"/>
                      <w:szCs w:val="21"/>
                      <w:lang w:eastAsia="el-GR"/>
                    </w:rPr>
                    <w:t>του οποίου η άμεση και έμμεση δημοσιότητα θα διευκολύνει σημαντικά τους εκθέτες να μεγιστοποιήσουν τα οφέλη της συμμετοχής τους και να απολαύσουν τα επιδιωκόμενα αποτελέσματα για τους ίδιους και την επιχείρησή τους.</w:t>
                  </w:r>
                  <w:r w:rsidRPr="005929B3">
                    <w:rPr>
                      <w:rFonts w:ascii="Arial" w:eastAsia="Times New Roman" w:hAnsi="Arial" w:cs="Arial"/>
                      <w:color w:val="333333"/>
                      <w:sz w:val="21"/>
                      <w:szCs w:val="21"/>
                      <w:lang w:eastAsia="el-GR"/>
                    </w:rPr>
                    <w:br/>
                  </w:r>
                  <w:r w:rsidRPr="005929B3">
                    <w:rPr>
                      <w:rFonts w:ascii="Arial" w:eastAsia="Times New Roman" w:hAnsi="Arial" w:cs="Arial"/>
                      <w:color w:val="333333"/>
                      <w:sz w:val="21"/>
                      <w:szCs w:val="21"/>
                      <w:lang w:eastAsia="el-GR"/>
                    </w:rPr>
                    <w:br/>
                    <w:t>Οι</w:t>
                  </w:r>
                  <w:r w:rsidRPr="005929B3">
                    <w:rPr>
                      <w:rFonts w:ascii="Arial" w:eastAsia="Times New Roman" w:hAnsi="Arial" w:cs="Arial"/>
                      <w:b/>
                      <w:bCs/>
                      <w:color w:val="333333"/>
                      <w:sz w:val="21"/>
                      <w:szCs w:val="21"/>
                      <w:lang w:eastAsia="el-GR"/>
                    </w:rPr>
                    <w:t> </w:t>
                  </w:r>
                  <w:proofErr w:type="spellStart"/>
                  <w:r w:rsidRPr="005929B3">
                    <w:rPr>
                      <w:rFonts w:ascii="Arial" w:eastAsia="Times New Roman" w:hAnsi="Arial" w:cs="Arial"/>
                      <w:b/>
                      <w:bCs/>
                      <w:color w:val="333333"/>
                      <w:sz w:val="21"/>
                      <w:szCs w:val="21"/>
                      <w:lang w:eastAsia="el-GR"/>
                    </w:rPr>
                    <w:t>Infacoma</w:t>
                  </w:r>
                  <w:proofErr w:type="spellEnd"/>
                  <w:r w:rsidRPr="005929B3">
                    <w:rPr>
                      <w:rFonts w:ascii="Arial" w:eastAsia="Times New Roman" w:hAnsi="Arial" w:cs="Arial"/>
                      <w:b/>
                      <w:bCs/>
                      <w:color w:val="333333"/>
                      <w:sz w:val="21"/>
                      <w:szCs w:val="21"/>
                      <w:lang w:eastAsia="el-GR"/>
                    </w:rPr>
                    <w:t xml:space="preserve"> &amp; </w:t>
                  </w:r>
                  <w:proofErr w:type="spellStart"/>
                  <w:r w:rsidRPr="005929B3">
                    <w:rPr>
                      <w:rFonts w:ascii="Arial" w:eastAsia="Times New Roman" w:hAnsi="Arial" w:cs="Arial"/>
                      <w:b/>
                      <w:bCs/>
                      <w:color w:val="333333"/>
                      <w:sz w:val="21"/>
                      <w:szCs w:val="21"/>
                      <w:lang w:eastAsia="el-GR"/>
                    </w:rPr>
                    <w:t>Aquatherm</w:t>
                  </w:r>
                  <w:proofErr w:type="spellEnd"/>
                  <w:r w:rsidRPr="005929B3">
                    <w:rPr>
                      <w:rFonts w:ascii="Arial" w:eastAsia="Times New Roman" w:hAnsi="Arial" w:cs="Arial"/>
                      <w:b/>
                      <w:bCs/>
                      <w:color w:val="333333"/>
                      <w:sz w:val="21"/>
                      <w:szCs w:val="21"/>
                      <w:lang w:eastAsia="el-GR"/>
                    </w:rPr>
                    <w:t xml:space="preserve"> </w:t>
                  </w:r>
                  <w:proofErr w:type="spellStart"/>
                  <w:r w:rsidRPr="005929B3">
                    <w:rPr>
                      <w:rFonts w:ascii="Arial" w:eastAsia="Times New Roman" w:hAnsi="Arial" w:cs="Arial"/>
                      <w:b/>
                      <w:bCs/>
                      <w:color w:val="333333"/>
                      <w:sz w:val="21"/>
                      <w:szCs w:val="21"/>
                      <w:lang w:eastAsia="el-GR"/>
                    </w:rPr>
                    <w:t>Athens</w:t>
                  </w:r>
                  <w:proofErr w:type="spellEnd"/>
                  <w:r w:rsidRPr="005929B3">
                    <w:rPr>
                      <w:rFonts w:ascii="Arial" w:eastAsia="Times New Roman" w:hAnsi="Arial" w:cs="Arial"/>
                      <w:b/>
                      <w:bCs/>
                      <w:color w:val="333333"/>
                      <w:sz w:val="21"/>
                      <w:szCs w:val="21"/>
                      <w:lang w:eastAsia="el-GR"/>
                    </w:rPr>
                    <w:t xml:space="preserve"> 2018</w:t>
                  </w:r>
                  <w:r w:rsidRPr="005929B3">
                    <w:rPr>
                      <w:rFonts w:ascii="Arial" w:eastAsia="Times New Roman" w:hAnsi="Arial" w:cs="Arial"/>
                      <w:color w:val="333333"/>
                      <w:sz w:val="21"/>
                      <w:szCs w:val="21"/>
                      <w:lang w:eastAsia="el-GR"/>
                    </w:rPr>
                    <w:t xml:space="preserve"> συνδιοργανώνονται από τον εθνικό Φορέα διοργάνωσης εκθέσεων ΔΕΘ-HELEXPO και την εταιρεία </w:t>
                  </w:r>
                  <w:proofErr w:type="spellStart"/>
                  <w:r w:rsidRPr="005929B3">
                    <w:rPr>
                      <w:rFonts w:ascii="Arial" w:eastAsia="Times New Roman" w:hAnsi="Arial" w:cs="Arial"/>
                      <w:color w:val="333333"/>
                      <w:sz w:val="21"/>
                      <w:szCs w:val="21"/>
                      <w:lang w:eastAsia="el-GR"/>
                    </w:rPr>
                    <w:t>Be</w:t>
                  </w:r>
                  <w:proofErr w:type="spellEnd"/>
                  <w:r w:rsidRPr="005929B3">
                    <w:rPr>
                      <w:rFonts w:ascii="Arial" w:eastAsia="Times New Roman" w:hAnsi="Arial" w:cs="Arial"/>
                      <w:color w:val="333333"/>
                      <w:sz w:val="21"/>
                      <w:szCs w:val="21"/>
                      <w:lang w:eastAsia="el-GR"/>
                    </w:rPr>
                    <w:t xml:space="preserve"> </w:t>
                  </w:r>
                  <w:proofErr w:type="spellStart"/>
                  <w:r w:rsidRPr="005929B3">
                    <w:rPr>
                      <w:rFonts w:ascii="Arial" w:eastAsia="Times New Roman" w:hAnsi="Arial" w:cs="Arial"/>
                      <w:color w:val="333333"/>
                      <w:sz w:val="21"/>
                      <w:szCs w:val="21"/>
                      <w:lang w:eastAsia="el-GR"/>
                    </w:rPr>
                    <w:t>Best</w:t>
                  </w:r>
                  <w:proofErr w:type="spellEnd"/>
                  <w:r w:rsidRPr="005929B3">
                    <w:rPr>
                      <w:rFonts w:ascii="Arial" w:eastAsia="Times New Roman" w:hAnsi="Arial" w:cs="Arial"/>
                      <w:color w:val="333333"/>
                      <w:sz w:val="21"/>
                      <w:szCs w:val="21"/>
                      <w:lang w:eastAsia="el-GR"/>
                    </w:rPr>
                    <w:t>.</w:t>
                  </w:r>
                  <w:r w:rsidRPr="005929B3">
                    <w:rPr>
                      <w:rFonts w:ascii="Arial" w:eastAsia="Times New Roman" w:hAnsi="Arial" w:cs="Arial"/>
                      <w:sz w:val="24"/>
                      <w:szCs w:val="24"/>
                      <w:lang w:eastAsia="el-GR"/>
                    </w:rPr>
                    <w:t> </w:t>
                  </w:r>
                  <w:r w:rsidRPr="005929B3">
                    <w:rPr>
                      <w:rFonts w:ascii="Arial" w:eastAsia="Times New Roman" w:hAnsi="Arial" w:cs="Arial"/>
                      <w:sz w:val="24"/>
                      <w:szCs w:val="24"/>
                      <w:lang w:eastAsia="el-GR"/>
                    </w:rPr>
                    <w:br/>
                  </w:r>
                  <w:r w:rsidRPr="005929B3">
                    <w:rPr>
                      <w:rFonts w:ascii="Arial" w:eastAsia="Times New Roman" w:hAnsi="Arial" w:cs="Arial"/>
                      <w:sz w:val="24"/>
                      <w:szCs w:val="24"/>
                      <w:lang w:eastAsia="el-GR"/>
                    </w:rPr>
                    <w:br/>
                  </w:r>
                  <w:r w:rsidRPr="005929B3">
                    <w:rPr>
                      <w:rFonts w:ascii="Arial" w:eastAsia="Times New Roman" w:hAnsi="Arial" w:cs="Arial"/>
                      <w:b/>
                      <w:bCs/>
                      <w:color w:val="333333"/>
                      <w:sz w:val="21"/>
                      <w:szCs w:val="21"/>
                      <w:lang w:eastAsia="el-GR"/>
                    </w:rPr>
                    <w:t>Σας περιμένουμε 9 - 12 Φεβρουαρίου 2018, στο Εκθεσιακό Κέντρο MEC Παιανίας!</w:t>
                  </w:r>
                </w:p>
              </w:tc>
            </w:tr>
            <w:tr w:rsidR="005929B3" w:rsidRPr="005929B3">
              <w:trPr>
                <w:trHeight w:val="720"/>
                <w:tblCellSpacing w:w="15" w:type="dxa"/>
                <w:jc w:val="center"/>
              </w:trPr>
              <w:tc>
                <w:tcPr>
                  <w:tcW w:w="0" w:type="auto"/>
                  <w:vAlign w:val="center"/>
                  <w:hideMark/>
                </w:tcPr>
                <w:tbl>
                  <w:tblPr>
                    <w:tblW w:w="3000" w:type="dxa"/>
                    <w:jc w:val="center"/>
                    <w:tblCellSpacing w:w="15" w:type="dxa"/>
                    <w:tblCellMar>
                      <w:top w:w="15" w:type="dxa"/>
                      <w:left w:w="15" w:type="dxa"/>
                      <w:bottom w:w="15" w:type="dxa"/>
                      <w:right w:w="15" w:type="dxa"/>
                    </w:tblCellMar>
                    <w:tblLook w:val="04A0" w:firstRow="1" w:lastRow="0" w:firstColumn="1" w:lastColumn="0" w:noHBand="0" w:noVBand="1"/>
                  </w:tblPr>
                  <w:tblGrid>
                    <w:gridCol w:w="3000"/>
                  </w:tblGrid>
                  <w:tr w:rsidR="005929B3" w:rsidRPr="005929B3">
                    <w:trPr>
                      <w:trHeight w:val="600"/>
                      <w:tblCellSpacing w:w="15" w:type="dxa"/>
                      <w:jc w:val="center"/>
                    </w:trPr>
                    <w:tc>
                      <w:tcPr>
                        <w:tcW w:w="3600" w:type="dxa"/>
                        <w:shd w:val="clear" w:color="auto" w:fill="666666"/>
                        <w:hideMark/>
                      </w:tcPr>
                      <w:p w:rsidR="005929B3" w:rsidRPr="005929B3" w:rsidRDefault="005929B3" w:rsidP="005929B3">
                        <w:pPr>
                          <w:spacing w:after="0" w:line="240" w:lineRule="auto"/>
                          <w:jc w:val="center"/>
                          <w:rPr>
                            <w:rFonts w:ascii="Arial" w:eastAsia="Times New Roman" w:hAnsi="Arial" w:cs="Arial"/>
                            <w:sz w:val="24"/>
                            <w:szCs w:val="24"/>
                            <w:lang w:eastAsia="el-GR"/>
                          </w:rPr>
                        </w:pPr>
                        <w:hyperlink r:id="rId9" w:tgtFrame="_blank" w:history="1">
                          <w:r w:rsidRPr="005929B3">
                            <w:rPr>
                              <w:rFonts w:ascii="Arial" w:eastAsia="Times New Roman" w:hAnsi="Arial" w:cs="Arial"/>
                              <w:color w:val="FFFFFF"/>
                              <w:sz w:val="21"/>
                              <w:szCs w:val="21"/>
                              <w:u w:val="single"/>
                              <w:lang w:eastAsia="el-GR"/>
                            </w:rPr>
                            <w:t>Δείτε το ωράριο λειτουργίας</w:t>
                          </w:r>
                        </w:hyperlink>
                      </w:p>
                    </w:tc>
                  </w:tr>
                </w:tbl>
                <w:p w:rsidR="005929B3" w:rsidRPr="005929B3" w:rsidRDefault="005929B3" w:rsidP="005929B3">
                  <w:pPr>
                    <w:spacing w:after="0" w:line="240" w:lineRule="auto"/>
                    <w:jc w:val="center"/>
                    <w:rPr>
                      <w:rFonts w:ascii="Arial" w:eastAsia="Times New Roman" w:hAnsi="Arial" w:cs="Arial"/>
                      <w:sz w:val="24"/>
                      <w:szCs w:val="24"/>
                      <w:lang w:eastAsia="el-GR"/>
                    </w:rPr>
                  </w:pPr>
                </w:p>
              </w:tc>
            </w:tr>
          </w:tbl>
          <w:p w:rsidR="005929B3" w:rsidRPr="005929B3" w:rsidRDefault="005929B3" w:rsidP="005929B3">
            <w:pPr>
              <w:spacing w:after="0" w:line="240" w:lineRule="auto"/>
              <w:jc w:val="center"/>
              <w:rPr>
                <w:rFonts w:ascii="Arial" w:eastAsia="Times New Roman" w:hAnsi="Arial" w:cs="Arial"/>
                <w:color w:val="222222"/>
                <w:sz w:val="19"/>
                <w:szCs w:val="19"/>
                <w:lang w:eastAsia="el-GR"/>
              </w:rPr>
            </w:pPr>
          </w:p>
        </w:tc>
      </w:tr>
      <w:tr w:rsidR="005929B3" w:rsidRPr="005929B3" w:rsidTr="005929B3">
        <w:trPr>
          <w:tblCellSpacing w:w="15" w:type="dxa"/>
          <w:jc w:val="center"/>
        </w:trPr>
        <w:tc>
          <w:tcPr>
            <w:tcW w:w="0" w:type="auto"/>
            <w:shd w:val="clear" w:color="auto" w:fill="333333"/>
            <w:vAlign w:val="center"/>
            <w:hideMark/>
          </w:tcPr>
          <w:p w:rsidR="005929B3" w:rsidRPr="005929B3" w:rsidRDefault="005929B3" w:rsidP="005929B3">
            <w:pPr>
              <w:spacing w:before="100" w:beforeAutospacing="1" w:after="100" w:afterAutospacing="1" w:line="240" w:lineRule="auto"/>
              <w:jc w:val="center"/>
              <w:rPr>
                <w:rFonts w:ascii="Arial" w:eastAsia="Times New Roman" w:hAnsi="Arial" w:cs="Arial"/>
                <w:color w:val="FFFFFF"/>
                <w:sz w:val="36"/>
                <w:szCs w:val="36"/>
                <w:lang w:eastAsia="el-GR"/>
              </w:rPr>
            </w:pPr>
            <w:proofErr w:type="spellStart"/>
            <w:r w:rsidRPr="005929B3">
              <w:rPr>
                <w:rFonts w:ascii="Arial" w:eastAsia="Times New Roman" w:hAnsi="Arial" w:cs="Arial"/>
                <w:b/>
                <w:bCs/>
                <w:color w:val="FFFFFF"/>
                <w:sz w:val="36"/>
                <w:szCs w:val="36"/>
                <w:lang w:eastAsia="el-GR"/>
              </w:rPr>
              <w:t>Infacoma</w:t>
            </w:r>
            <w:proofErr w:type="spellEnd"/>
            <w:r w:rsidRPr="005929B3">
              <w:rPr>
                <w:rFonts w:ascii="Arial" w:eastAsia="Times New Roman" w:hAnsi="Arial" w:cs="Arial"/>
                <w:b/>
                <w:bCs/>
                <w:color w:val="FFFFFF"/>
                <w:sz w:val="36"/>
                <w:szCs w:val="36"/>
                <w:lang w:eastAsia="el-GR"/>
              </w:rPr>
              <w:t xml:space="preserve"> </w:t>
            </w:r>
            <w:proofErr w:type="spellStart"/>
            <w:r w:rsidRPr="005929B3">
              <w:rPr>
                <w:rFonts w:ascii="Arial" w:eastAsia="Times New Roman" w:hAnsi="Arial" w:cs="Arial"/>
                <w:b/>
                <w:bCs/>
                <w:color w:val="FFFFFF"/>
                <w:sz w:val="36"/>
                <w:szCs w:val="36"/>
                <w:lang w:eastAsia="el-GR"/>
              </w:rPr>
              <w:t>Athens</w:t>
            </w:r>
            <w:proofErr w:type="spellEnd"/>
            <w:r w:rsidRPr="005929B3">
              <w:rPr>
                <w:rFonts w:ascii="Arial" w:eastAsia="Times New Roman" w:hAnsi="Arial" w:cs="Arial"/>
                <w:b/>
                <w:bCs/>
                <w:color w:val="FFFFFF"/>
                <w:sz w:val="36"/>
                <w:szCs w:val="36"/>
                <w:lang w:eastAsia="el-GR"/>
              </w:rPr>
              <w:t xml:space="preserve"> &amp; </w:t>
            </w:r>
            <w:proofErr w:type="spellStart"/>
            <w:r w:rsidRPr="005929B3">
              <w:rPr>
                <w:rFonts w:ascii="Arial" w:eastAsia="Times New Roman" w:hAnsi="Arial" w:cs="Arial"/>
                <w:b/>
                <w:bCs/>
                <w:color w:val="FFFFFF"/>
                <w:sz w:val="36"/>
                <w:szCs w:val="36"/>
                <w:lang w:eastAsia="el-GR"/>
              </w:rPr>
              <w:t>Aquatherm</w:t>
            </w:r>
            <w:proofErr w:type="spellEnd"/>
            <w:r w:rsidRPr="005929B3">
              <w:rPr>
                <w:rFonts w:ascii="Arial" w:eastAsia="Times New Roman" w:hAnsi="Arial" w:cs="Arial"/>
                <w:b/>
                <w:bCs/>
                <w:color w:val="FFFFFF"/>
                <w:sz w:val="36"/>
                <w:szCs w:val="36"/>
                <w:lang w:eastAsia="el-GR"/>
              </w:rPr>
              <w:t xml:space="preserve"> </w:t>
            </w:r>
            <w:proofErr w:type="spellStart"/>
            <w:r w:rsidRPr="005929B3">
              <w:rPr>
                <w:rFonts w:ascii="Arial" w:eastAsia="Times New Roman" w:hAnsi="Arial" w:cs="Arial"/>
                <w:b/>
                <w:bCs/>
                <w:color w:val="FFFFFF"/>
                <w:sz w:val="36"/>
                <w:szCs w:val="36"/>
                <w:lang w:eastAsia="el-GR"/>
              </w:rPr>
              <w:t>Athens</w:t>
            </w:r>
            <w:proofErr w:type="spellEnd"/>
            <w:r w:rsidRPr="005929B3">
              <w:rPr>
                <w:rFonts w:ascii="Arial" w:eastAsia="Times New Roman" w:hAnsi="Arial" w:cs="Arial"/>
                <w:b/>
                <w:bCs/>
                <w:color w:val="FFFFFF"/>
                <w:sz w:val="36"/>
                <w:szCs w:val="36"/>
                <w:lang w:eastAsia="el-GR"/>
              </w:rPr>
              <w:t> </w:t>
            </w:r>
            <w:r w:rsidRPr="005929B3">
              <w:rPr>
                <w:rFonts w:ascii="Arial" w:eastAsia="Times New Roman" w:hAnsi="Arial" w:cs="Arial"/>
                <w:b/>
                <w:bCs/>
                <w:color w:val="FFFFFF"/>
                <w:sz w:val="36"/>
                <w:szCs w:val="36"/>
                <w:lang w:eastAsia="el-GR"/>
              </w:rPr>
              <w:br/>
              <w:t>9 – 12 Φεβρουαρίου 2018 στο MEC Παιανίας</w:t>
            </w:r>
            <w:r w:rsidRPr="005929B3">
              <w:rPr>
                <w:rFonts w:ascii="Arial" w:eastAsia="Times New Roman" w:hAnsi="Arial" w:cs="Arial"/>
                <w:b/>
                <w:bCs/>
                <w:color w:val="FFFFFF"/>
                <w:sz w:val="36"/>
                <w:szCs w:val="36"/>
                <w:lang w:eastAsia="el-GR"/>
              </w:rPr>
              <w:br/>
            </w:r>
            <w:r w:rsidRPr="005929B3">
              <w:rPr>
                <w:rFonts w:ascii="Arial" w:eastAsia="Times New Roman" w:hAnsi="Arial" w:cs="Arial"/>
                <w:color w:val="CCCCCC"/>
                <w:sz w:val="30"/>
                <w:szCs w:val="30"/>
                <w:lang w:eastAsia="el-GR"/>
              </w:rPr>
              <w:t>«Χτίζοντας» τον δρόμο προς την κορυφή, </w:t>
            </w:r>
            <w:r w:rsidRPr="005929B3">
              <w:rPr>
                <w:rFonts w:ascii="Arial" w:eastAsia="Times New Roman" w:hAnsi="Arial" w:cs="Arial"/>
                <w:color w:val="CCCCCC"/>
                <w:sz w:val="30"/>
                <w:szCs w:val="30"/>
                <w:lang w:eastAsia="el-GR"/>
              </w:rPr>
              <w:br/>
              <w:t>«Οικοδομώντας» τα θεμέλια του αύριο!</w:t>
            </w:r>
          </w:p>
        </w:tc>
      </w:tr>
      <w:tr w:rsidR="005929B3" w:rsidRPr="005929B3" w:rsidTr="005929B3">
        <w:trPr>
          <w:tblCellSpacing w:w="15" w:type="dxa"/>
          <w:jc w:val="center"/>
        </w:trPr>
        <w:tc>
          <w:tcPr>
            <w:tcW w:w="0" w:type="auto"/>
            <w:shd w:val="clear" w:color="auto" w:fill="FFFFFF"/>
            <w:vAlign w:val="center"/>
            <w:hideMark/>
          </w:tcPr>
          <w:p w:rsidR="005929B3" w:rsidRPr="005929B3" w:rsidRDefault="005929B3" w:rsidP="005929B3">
            <w:pPr>
              <w:spacing w:after="0" w:line="240" w:lineRule="auto"/>
              <w:jc w:val="center"/>
              <w:rPr>
                <w:rFonts w:ascii="Arial" w:eastAsia="Times New Roman" w:hAnsi="Arial" w:cs="Arial"/>
                <w:color w:val="222222"/>
                <w:sz w:val="19"/>
                <w:szCs w:val="19"/>
                <w:lang w:eastAsia="el-GR"/>
              </w:rPr>
            </w:pPr>
            <w:r w:rsidRPr="005929B3">
              <w:rPr>
                <w:rFonts w:ascii="Verdana" w:eastAsia="Times New Roman" w:hAnsi="Verdana" w:cs="Arial"/>
                <w:b/>
                <w:bCs/>
                <w:color w:val="000000"/>
                <w:sz w:val="27"/>
                <w:szCs w:val="27"/>
                <w:lang w:eastAsia="el-GR"/>
              </w:rPr>
              <w:t>Διοργάνωση:</w:t>
            </w:r>
            <w:r w:rsidRPr="005929B3">
              <w:rPr>
                <w:rFonts w:ascii="Arial" w:eastAsia="Times New Roman" w:hAnsi="Arial" w:cs="Arial"/>
                <w:color w:val="222222"/>
                <w:sz w:val="19"/>
                <w:szCs w:val="19"/>
                <w:lang w:eastAsia="el-GR"/>
              </w:rPr>
              <w:br/>
            </w:r>
            <w:r w:rsidRPr="005929B3">
              <w:rPr>
                <w:rFonts w:ascii="Arial" w:eastAsia="Times New Roman" w:hAnsi="Arial" w:cs="Arial"/>
                <w:noProof/>
                <w:color w:val="1155CC"/>
                <w:sz w:val="19"/>
                <w:szCs w:val="19"/>
                <w:lang w:eastAsia="el-GR"/>
              </w:rPr>
              <w:drawing>
                <wp:inline distT="0" distB="0" distL="0" distR="0" wp14:anchorId="6FAEE615" wp14:editId="23BD9BDB">
                  <wp:extent cx="5236210" cy="931545"/>
                  <wp:effectExtent l="0" t="0" r="2540" b="1905"/>
                  <wp:docPr id="2" name="Εικόνα 2" descr="https://ci4.googleusercontent.com/proxy/HgeP92AcYYmzY21IjS1rKCohZgOeQKYE_qLVFd4S8MJQChPL_rfgVIMK3u2SNG70my2xWZ_0FlsL7r7lYBp2Lq6iKQ_o=s0-d-e1-ft#http://z3dn.r.bh.d.sendibt3.com/7tj9eo6et3e.png">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i4.googleusercontent.com/proxy/HgeP92AcYYmzY21IjS1rKCohZgOeQKYE_qLVFd4S8MJQChPL_rfgVIMK3u2SNG70my2xWZ_0FlsL7r7lYBp2Lq6iKQ_o=s0-d-e1-ft#http://z3dn.r.bh.d.sendibt3.com/7tj9eo6et3e.png">
                            <a:hlinkClick r:id="rId7"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6210" cy="931545"/>
                          </a:xfrm>
                          <a:prstGeom prst="rect">
                            <a:avLst/>
                          </a:prstGeom>
                          <a:noFill/>
                          <a:ln>
                            <a:noFill/>
                          </a:ln>
                        </pic:spPr>
                      </pic:pic>
                    </a:graphicData>
                  </a:graphic>
                </wp:inline>
              </w:drawing>
            </w:r>
          </w:p>
        </w:tc>
      </w:tr>
      <w:tr w:rsidR="005929B3" w:rsidRPr="005929B3" w:rsidTr="005929B3">
        <w:trPr>
          <w:trHeight w:val="1515"/>
          <w:tblCellSpacing w:w="15" w:type="dxa"/>
          <w:jc w:val="center"/>
        </w:trPr>
        <w:tc>
          <w:tcPr>
            <w:tcW w:w="0" w:type="auto"/>
            <w:shd w:val="clear" w:color="auto" w:fill="FFFFFF"/>
            <w:vAlign w:val="center"/>
            <w:hideMark/>
          </w:tcPr>
          <w:p w:rsidR="005929B3" w:rsidRPr="005929B3" w:rsidRDefault="005929B3" w:rsidP="005929B3">
            <w:pPr>
              <w:spacing w:after="0" w:line="240" w:lineRule="auto"/>
              <w:jc w:val="center"/>
              <w:rPr>
                <w:rFonts w:ascii="Arial" w:eastAsia="Times New Roman" w:hAnsi="Arial" w:cs="Arial"/>
                <w:color w:val="222222"/>
                <w:sz w:val="19"/>
                <w:szCs w:val="19"/>
                <w:lang w:eastAsia="el-GR"/>
              </w:rPr>
            </w:pPr>
            <w:r w:rsidRPr="005929B3">
              <w:rPr>
                <w:rFonts w:ascii="Arial" w:eastAsia="Times New Roman" w:hAnsi="Arial" w:cs="Arial"/>
                <w:noProof/>
                <w:color w:val="1155CC"/>
                <w:sz w:val="19"/>
                <w:szCs w:val="19"/>
                <w:lang w:eastAsia="el-GR"/>
              </w:rPr>
              <w:drawing>
                <wp:inline distT="0" distB="0" distL="0" distR="0" wp14:anchorId="40D14FC4" wp14:editId="38EDECCB">
                  <wp:extent cx="5520690" cy="940435"/>
                  <wp:effectExtent l="0" t="0" r="3810" b="0"/>
                  <wp:docPr id="3" name="Εικόνα 3" descr="https://ci6.googleusercontent.com/proxy/k6dv2U-wfobR7UOA-rPKKUj2bnSmpLczMVlokXdMCCtLAVWTAcFfbNM12eluGsvqkm7WawQXfpWz89xhxWS9wuDl_Q6c=s0-d-e1-ft#http://z3dn.r.bh.d.sendibt3.com/7tja746et3e.pn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i6.googleusercontent.com/proxy/k6dv2U-wfobR7UOA-rPKKUj2bnSmpLczMVlokXdMCCtLAVWTAcFfbNM12eluGsvqkm7WawQXfpWz89xhxWS9wuDl_Q6c=s0-d-e1-ft#http://z3dn.r.bh.d.sendibt3.com/7tja746et3e.png">
                            <a:hlinkClick r:id="rId11" tgtFrame="&quot;_blank&quo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20690" cy="940435"/>
                          </a:xfrm>
                          <a:prstGeom prst="rect">
                            <a:avLst/>
                          </a:prstGeom>
                          <a:noFill/>
                          <a:ln>
                            <a:noFill/>
                          </a:ln>
                        </pic:spPr>
                      </pic:pic>
                    </a:graphicData>
                  </a:graphic>
                </wp:inline>
              </w:drawing>
            </w:r>
          </w:p>
        </w:tc>
      </w:tr>
    </w:tbl>
    <w:p w:rsidR="00342CB0" w:rsidRDefault="005929B3">
      <w:bookmarkStart w:id="0" w:name="_GoBack"/>
      <w:bookmarkEnd w:id="0"/>
    </w:p>
    <w:sectPr w:rsidR="00342CB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9B3"/>
    <w:rsid w:val="00054D8C"/>
    <w:rsid w:val="005929B3"/>
    <w:rsid w:val="00FB564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929B3"/>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5929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929B3"/>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5929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431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e-best.gr/" TargetMode="External"/><Relationship Id="rId12"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quatherm.helexpo.gr/el/exhibitors_info" TargetMode="External"/><Relationship Id="rId11" Type="http://schemas.openxmlformats.org/officeDocument/2006/relationships/hyperlink" Target="http://www.helexpo.gr/el" TargetMode="External"/><Relationship Id="rId5" Type="http://schemas.openxmlformats.org/officeDocument/2006/relationships/hyperlink" Target="http://infacoma.helexpo.gr/el/exhibitors_info"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infacoma.helexpo.gr/el/hours"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2758</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2018-02-01T08:49:00Z</dcterms:created>
  <dcterms:modified xsi:type="dcterms:W3CDTF">2018-02-01T08:49:00Z</dcterms:modified>
</cp:coreProperties>
</file>