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D49" w:rsidRPr="00C77524" w:rsidRDefault="00F70D49" w:rsidP="00F70D49">
      <w:pPr>
        <w:ind w:left="-360"/>
        <w:jc w:val="center"/>
        <w:rPr>
          <w:rFonts w:eastAsia="Arial Unicode MS"/>
          <w:lang w:val="en-GB"/>
        </w:rPr>
      </w:pPr>
      <w:r w:rsidRPr="00C77524">
        <w:rPr>
          <w:rFonts w:eastAsia="Arial Unicode MS"/>
        </w:rPr>
        <w:object w:dxaOrig="1337"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1.25pt" o:ole="">
            <v:imagedata r:id="rId8" o:title=""/>
          </v:shape>
          <o:OLEObject Type="Embed" ProgID="Word.Picture.8" ShapeID="_x0000_i1025" DrawAspect="Content" ObjectID="_1528639195" r:id="rId9"/>
        </w:object>
      </w:r>
    </w:p>
    <w:p w:rsidR="00F70D49" w:rsidRPr="00C77524" w:rsidRDefault="00F70D49" w:rsidP="00F70D49">
      <w:pPr>
        <w:jc w:val="center"/>
        <w:rPr>
          <w:rFonts w:eastAsia="Arial Unicode MS"/>
          <w:b/>
        </w:rPr>
      </w:pPr>
      <w:r w:rsidRPr="00C77524">
        <w:rPr>
          <w:rFonts w:eastAsia="Arial Unicode MS"/>
          <w:b/>
        </w:rPr>
        <w:t>ΕΛΛΗΝΙΚΗ ΠΡΕΣΒΕΙΑ ΣΤΟ ΛΟΝΔΙΝΟ</w:t>
      </w:r>
    </w:p>
    <w:p w:rsidR="00F70D49" w:rsidRPr="00C77524" w:rsidRDefault="00F70D49" w:rsidP="00F70D49">
      <w:pPr>
        <w:spacing w:line="276" w:lineRule="auto"/>
        <w:ind w:right="-334"/>
        <w:jc w:val="center"/>
        <w:rPr>
          <w:rFonts w:eastAsia="Arial Unicode MS"/>
          <w:b/>
        </w:rPr>
      </w:pPr>
      <w:r w:rsidRPr="00C77524">
        <w:rPr>
          <w:rFonts w:eastAsia="Arial Unicode MS"/>
          <w:b/>
        </w:rPr>
        <w:t>Γραφείο Οικονομικών και Εμπορικών Υποθέσεων</w:t>
      </w:r>
    </w:p>
    <w:p w:rsidR="00B1474B" w:rsidRPr="00C77524" w:rsidRDefault="00027502" w:rsidP="00F70D49">
      <w:pPr>
        <w:spacing w:line="276" w:lineRule="auto"/>
        <w:ind w:right="-334"/>
        <w:jc w:val="center"/>
        <w:rPr>
          <w:rFonts w:eastAsia="Arial Unicode MS"/>
          <w:b/>
        </w:rPr>
      </w:pPr>
      <w:r w:rsidRPr="00C77524">
        <w:rPr>
          <w:rFonts w:eastAsia="Arial Unicode MS"/>
          <w:b/>
        </w:rPr>
        <w:tab/>
      </w:r>
      <w:r w:rsidRPr="00C77524">
        <w:rPr>
          <w:rFonts w:eastAsia="Arial Unicode MS"/>
          <w:b/>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B1474B" w:rsidRPr="00C77524" w:rsidTr="00B1474B">
        <w:tc>
          <w:tcPr>
            <w:tcW w:w="4261" w:type="dxa"/>
          </w:tcPr>
          <w:p w:rsidR="00B1474B" w:rsidRPr="00C77524" w:rsidRDefault="00B1474B">
            <w:pPr>
              <w:spacing w:line="276" w:lineRule="auto"/>
              <w:ind w:right="-334"/>
              <w:jc w:val="center"/>
              <w:rPr>
                <w:rFonts w:eastAsia="Arial Unicode MS"/>
                <w:b/>
              </w:rPr>
            </w:pPr>
          </w:p>
        </w:tc>
        <w:tc>
          <w:tcPr>
            <w:tcW w:w="4261" w:type="dxa"/>
          </w:tcPr>
          <w:p w:rsidR="00B1474B" w:rsidRPr="00C77524" w:rsidRDefault="00AB76AE" w:rsidP="00CA2C4A">
            <w:pPr>
              <w:spacing w:line="276" w:lineRule="auto"/>
              <w:ind w:right="-334"/>
              <w:rPr>
                <w:rFonts w:eastAsia="Arial Unicode MS"/>
                <w:b/>
                <w:u w:val="single"/>
              </w:rPr>
            </w:pPr>
            <w:r w:rsidRPr="00C77524">
              <w:rPr>
                <w:rFonts w:eastAsia="Arial Unicode MS"/>
                <w:b/>
                <w:u w:val="single"/>
              </w:rPr>
              <w:t>ΚΑΝΟΝΙΚΟ</w:t>
            </w:r>
            <w:r w:rsidR="00D160C5" w:rsidRPr="00C77524">
              <w:rPr>
                <w:rFonts w:eastAsia="Arial Unicode MS"/>
                <w:b/>
                <w:u w:val="single"/>
              </w:rPr>
              <w:t xml:space="preserve"> - </w:t>
            </w:r>
            <w:r w:rsidR="00CA2C4A" w:rsidRPr="00C77524">
              <w:rPr>
                <w:rFonts w:eastAsia="Arial Unicode MS"/>
                <w:b/>
                <w:u w:val="single"/>
              </w:rPr>
              <w:t>ΑΔΙΑΒΑΘΜΗΤΟ</w:t>
            </w:r>
          </w:p>
        </w:tc>
      </w:tr>
      <w:tr w:rsidR="00B1474B" w:rsidRPr="00C77524" w:rsidTr="00B1474B">
        <w:tc>
          <w:tcPr>
            <w:tcW w:w="4261" w:type="dxa"/>
          </w:tcPr>
          <w:p w:rsidR="00B1474B" w:rsidRPr="00C77524" w:rsidRDefault="00B1474B">
            <w:pPr>
              <w:spacing w:line="276" w:lineRule="auto"/>
              <w:ind w:right="-334"/>
              <w:jc w:val="center"/>
              <w:rPr>
                <w:rFonts w:eastAsia="Arial Unicode MS"/>
                <w:b/>
              </w:rPr>
            </w:pPr>
          </w:p>
        </w:tc>
        <w:tc>
          <w:tcPr>
            <w:tcW w:w="4261" w:type="dxa"/>
          </w:tcPr>
          <w:p w:rsidR="00B1474B" w:rsidRPr="00C77524" w:rsidRDefault="00B1474B" w:rsidP="004F34FA">
            <w:pPr>
              <w:spacing w:line="276" w:lineRule="auto"/>
              <w:ind w:right="-334"/>
              <w:rPr>
                <w:rFonts w:eastAsia="Arial Unicode MS"/>
              </w:rPr>
            </w:pPr>
            <w:r w:rsidRPr="00C77524">
              <w:rPr>
                <w:rFonts w:eastAsia="Arial Unicode MS"/>
              </w:rPr>
              <w:t xml:space="preserve">Λονδίνο, </w:t>
            </w:r>
            <w:r w:rsidR="004F34FA">
              <w:rPr>
                <w:rFonts w:eastAsia="Arial Unicode MS"/>
                <w:lang w:val="en-GB"/>
              </w:rPr>
              <w:t>28</w:t>
            </w:r>
            <w:r w:rsidR="00C77524" w:rsidRPr="00C77524">
              <w:rPr>
                <w:rFonts w:eastAsia="Arial Unicode MS"/>
                <w:lang w:val="en-GB"/>
              </w:rPr>
              <w:t xml:space="preserve"> </w:t>
            </w:r>
            <w:r w:rsidR="00044307">
              <w:rPr>
                <w:rFonts w:eastAsia="Arial Unicode MS"/>
              </w:rPr>
              <w:t xml:space="preserve">Ιουνίου </w:t>
            </w:r>
            <w:r w:rsidRPr="00C77524">
              <w:rPr>
                <w:rFonts w:eastAsia="Arial Unicode MS"/>
              </w:rPr>
              <w:t>201</w:t>
            </w:r>
            <w:r w:rsidR="00AB76AE" w:rsidRPr="00C77524">
              <w:rPr>
                <w:rFonts w:eastAsia="Arial Unicode MS"/>
              </w:rPr>
              <w:t>6</w:t>
            </w:r>
          </w:p>
        </w:tc>
      </w:tr>
      <w:tr w:rsidR="00B1474B" w:rsidRPr="00C77524" w:rsidTr="00B1474B">
        <w:tc>
          <w:tcPr>
            <w:tcW w:w="4261" w:type="dxa"/>
          </w:tcPr>
          <w:p w:rsidR="00B1474B" w:rsidRPr="00C77524" w:rsidRDefault="00B1474B">
            <w:pPr>
              <w:spacing w:line="276" w:lineRule="auto"/>
              <w:ind w:right="-334"/>
              <w:jc w:val="center"/>
              <w:rPr>
                <w:rFonts w:eastAsia="Arial Unicode MS"/>
                <w:b/>
              </w:rPr>
            </w:pPr>
          </w:p>
        </w:tc>
        <w:tc>
          <w:tcPr>
            <w:tcW w:w="4261" w:type="dxa"/>
          </w:tcPr>
          <w:p w:rsidR="00B1474B" w:rsidRPr="00044307" w:rsidRDefault="009E7706" w:rsidP="004F34FA">
            <w:pPr>
              <w:spacing w:line="276" w:lineRule="auto"/>
              <w:ind w:right="-334"/>
              <w:rPr>
                <w:rFonts w:eastAsia="Arial Unicode MS"/>
                <w:lang w:val="en-GB"/>
              </w:rPr>
            </w:pPr>
            <w:r w:rsidRPr="00C77524">
              <w:rPr>
                <w:rFonts w:eastAsia="Arial Unicode MS"/>
              </w:rPr>
              <w:t>Α.Π.</w:t>
            </w:r>
            <w:r w:rsidR="00B1474B" w:rsidRPr="00C77524">
              <w:rPr>
                <w:rFonts w:eastAsia="Arial Unicode MS"/>
              </w:rPr>
              <w:t>:</w:t>
            </w:r>
            <w:r w:rsidR="008772A4" w:rsidRPr="00C77524">
              <w:rPr>
                <w:rFonts w:eastAsia="Arial Unicode MS"/>
              </w:rPr>
              <w:t xml:space="preserve"> </w:t>
            </w:r>
            <w:r w:rsidR="005A3995">
              <w:rPr>
                <w:rFonts w:eastAsia="Arial Unicode MS"/>
              </w:rPr>
              <w:t>2600/2329</w:t>
            </w:r>
          </w:p>
        </w:tc>
      </w:tr>
    </w:tbl>
    <w:p w:rsidR="00B1474B" w:rsidRPr="00C77524" w:rsidRDefault="00B1474B">
      <w:pPr>
        <w:spacing w:line="276" w:lineRule="auto"/>
        <w:ind w:right="-334"/>
        <w:jc w:val="center"/>
        <w:rPr>
          <w:rFonts w:eastAsia="Arial Unicode MS"/>
          <w:b/>
        </w:rPr>
      </w:pPr>
    </w:p>
    <w:tbl>
      <w:tblPr>
        <w:tblW w:w="0" w:type="auto"/>
        <w:tblLook w:val="04A0"/>
      </w:tblPr>
      <w:tblGrid>
        <w:gridCol w:w="973"/>
        <w:gridCol w:w="7549"/>
      </w:tblGrid>
      <w:tr w:rsidR="008D1D1A" w:rsidRPr="00C77524" w:rsidTr="00F41D3F">
        <w:trPr>
          <w:trHeight w:val="703"/>
        </w:trPr>
        <w:tc>
          <w:tcPr>
            <w:tcW w:w="878" w:type="dxa"/>
          </w:tcPr>
          <w:p w:rsidR="008D1D1A" w:rsidRPr="00C77524" w:rsidRDefault="008D1D1A">
            <w:pPr>
              <w:spacing w:line="276" w:lineRule="auto"/>
              <w:rPr>
                <w:b/>
              </w:rPr>
            </w:pPr>
            <w:r w:rsidRPr="00C77524">
              <w:rPr>
                <w:b/>
              </w:rPr>
              <w:t>ΠΡΟΣ:</w:t>
            </w:r>
          </w:p>
        </w:tc>
        <w:tc>
          <w:tcPr>
            <w:tcW w:w="7581" w:type="dxa"/>
          </w:tcPr>
          <w:p w:rsidR="008D1D1A" w:rsidRPr="00C77524" w:rsidRDefault="00416ABC">
            <w:pPr>
              <w:pStyle w:val="Heading3"/>
              <w:rPr>
                <w:rFonts w:ascii="Times New Roman" w:hAnsi="Times New Roman"/>
                <w:sz w:val="24"/>
                <w:szCs w:val="24"/>
              </w:rPr>
            </w:pPr>
            <w:r>
              <w:rPr>
                <w:rFonts w:ascii="Times New Roman" w:hAnsi="Times New Roman"/>
                <w:sz w:val="24"/>
                <w:szCs w:val="24"/>
              </w:rPr>
              <w:t>Ως π</w:t>
            </w:r>
            <w:r w:rsidR="004F34FA">
              <w:rPr>
                <w:rFonts w:ascii="Times New Roman" w:hAnsi="Times New Roman"/>
                <w:sz w:val="24"/>
                <w:szCs w:val="24"/>
              </w:rPr>
              <w:t>ίνακας αποδεκτών</w:t>
            </w:r>
            <w:r w:rsidR="008A408A">
              <w:rPr>
                <w:rFonts w:ascii="Times New Roman" w:hAnsi="Times New Roman"/>
                <w:sz w:val="24"/>
                <w:szCs w:val="24"/>
              </w:rPr>
              <w:t xml:space="preserve"> (μέσω ημών)</w:t>
            </w:r>
          </w:p>
          <w:p w:rsidR="0004697C" w:rsidRPr="00C77524" w:rsidRDefault="0004697C" w:rsidP="00B1474B">
            <w:pPr>
              <w:spacing w:line="276" w:lineRule="auto"/>
            </w:pPr>
          </w:p>
          <w:p w:rsidR="0004697C" w:rsidRPr="00C77524" w:rsidRDefault="0004697C" w:rsidP="0004697C">
            <w:pPr>
              <w:spacing w:line="276" w:lineRule="auto"/>
            </w:pPr>
          </w:p>
        </w:tc>
      </w:tr>
      <w:tr w:rsidR="008D1D1A" w:rsidRPr="00C77524" w:rsidTr="00F41D3F">
        <w:tc>
          <w:tcPr>
            <w:tcW w:w="878" w:type="dxa"/>
          </w:tcPr>
          <w:p w:rsidR="008D1D1A" w:rsidRPr="00C77524" w:rsidRDefault="008D1D1A">
            <w:pPr>
              <w:spacing w:line="276" w:lineRule="auto"/>
              <w:rPr>
                <w:b/>
              </w:rPr>
            </w:pPr>
            <w:r w:rsidRPr="00C77524">
              <w:rPr>
                <w:b/>
              </w:rPr>
              <w:t>ΚΟΙΝ:</w:t>
            </w:r>
          </w:p>
          <w:p w:rsidR="0058257C" w:rsidRPr="00C77524" w:rsidRDefault="0058257C">
            <w:pPr>
              <w:spacing w:line="276" w:lineRule="auto"/>
              <w:rPr>
                <w:b/>
              </w:rPr>
            </w:pPr>
          </w:p>
          <w:p w:rsidR="0058257C" w:rsidRPr="00C77524" w:rsidRDefault="0058257C">
            <w:pPr>
              <w:spacing w:line="276" w:lineRule="auto"/>
              <w:rPr>
                <w:b/>
              </w:rPr>
            </w:pPr>
          </w:p>
          <w:p w:rsidR="0058257C" w:rsidRPr="00C77524" w:rsidRDefault="0058257C">
            <w:pPr>
              <w:spacing w:line="276" w:lineRule="auto"/>
              <w:rPr>
                <w:b/>
              </w:rPr>
            </w:pPr>
          </w:p>
          <w:p w:rsidR="00CA2C4A" w:rsidRPr="00C77524" w:rsidRDefault="00CA2C4A">
            <w:pPr>
              <w:spacing w:line="276" w:lineRule="auto"/>
              <w:rPr>
                <w:b/>
              </w:rPr>
            </w:pPr>
          </w:p>
          <w:p w:rsidR="0058257C" w:rsidRPr="00C77524" w:rsidRDefault="0058257C">
            <w:pPr>
              <w:spacing w:line="276" w:lineRule="auto"/>
              <w:rPr>
                <w:b/>
              </w:rPr>
            </w:pPr>
            <w:r w:rsidRPr="00C77524">
              <w:rPr>
                <w:b/>
              </w:rPr>
              <w:t xml:space="preserve"> </w:t>
            </w:r>
          </w:p>
        </w:tc>
        <w:tc>
          <w:tcPr>
            <w:tcW w:w="7581" w:type="dxa"/>
          </w:tcPr>
          <w:p w:rsidR="00E33D29" w:rsidRPr="00C77524" w:rsidRDefault="008D1D1A" w:rsidP="0004697C">
            <w:pPr>
              <w:pStyle w:val="Heading3"/>
              <w:rPr>
                <w:rFonts w:ascii="Times New Roman" w:hAnsi="Times New Roman"/>
                <w:sz w:val="24"/>
                <w:szCs w:val="24"/>
              </w:rPr>
            </w:pPr>
            <w:r w:rsidRPr="00C77524">
              <w:rPr>
                <w:rFonts w:ascii="Times New Roman" w:hAnsi="Times New Roman"/>
                <w:sz w:val="24"/>
                <w:szCs w:val="24"/>
              </w:rPr>
              <w:t>ΥΠΕΞ</w:t>
            </w:r>
            <w:r w:rsidR="00C77524">
              <w:rPr>
                <w:rFonts w:ascii="Times New Roman" w:hAnsi="Times New Roman"/>
                <w:sz w:val="24"/>
                <w:szCs w:val="24"/>
              </w:rPr>
              <w:t xml:space="preserve"> </w:t>
            </w:r>
          </w:p>
          <w:p w:rsidR="00F41D3F" w:rsidRPr="00C77524" w:rsidRDefault="00F41D3F" w:rsidP="003C0733">
            <w:pPr>
              <w:pStyle w:val="ListParagraph"/>
              <w:numPr>
                <w:ilvl w:val="0"/>
                <w:numId w:val="3"/>
              </w:numPr>
            </w:pPr>
            <w:r w:rsidRPr="00C77524">
              <w:t xml:space="preserve">Δ.Γ. </w:t>
            </w:r>
            <w:r w:rsidR="00F70D49" w:rsidRPr="00C77524">
              <w:t>ΥΦ</w:t>
            </w:r>
            <w:r w:rsidRPr="00C77524">
              <w:t xml:space="preserve">ΥΠΕΞ  </w:t>
            </w:r>
            <w:r w:rsidR="00F70D49" w:rsidRPr="00C77524">
              <w:t xml:space="preserve">κ. </w:t>
            </w:r>
            <w:r w:rsidR="004D6858" w:rsidRPr="00C77524">
              <w:t xml:space="preserve">Δ. </w:t>
            </w:r>
            <w:r w:rsidR="00F70D49" w:rsidRPr="00C77524">
              <w:t>Μάρδα</w:t>
            </w:r>
          </w:p>
          <w:p w:rsidR="003C0733" w:rsidRPr="00C77524" w:rsidRDefault="00425145" w:rsidP="003C0733">
            <w:pPr>
              <w:pStyle w:val="ListParagraph"/>
              <w:numPr>
                <w:ilvl w:val="0"/>
                <w:numId w:val="3"/>
              </w:numPr>
            </w:pPr>
            <w:r w:rsidRPr="00C77524">
              <w:t>Γρ. κ. Γεν. Γραμματέα</w:t>
            </w:r>
            <w:r w:rsidR="00447385" w:rsidRPr="00C77524">
              <w:t xml:space="preserve"> ΔΟΣ</w:t>
            </w:r>
            <w:r w:rsidR="00C77524" w:rsidRPr="00C77524">
              <w:t xml:space="preserve"> &amp; ΑΣ</w:t>
            </w:r>
          </w:p>
          <w:p w:rsidR="00205E67" w:rsidRPr="00C77524" w:rsidRDefault="0004697C" w:rsidP="00205E67">
            <w:pPr>
              <w:pStyle w:val="ListParagraph"/>
              <w:numPr>
                <w:ilvl w:val="0"/>
                <w:numId w:val="3"/>
              </w:numPr>
            </w:pPr>
            <w:r w:rsidRPr="00C77524">
              <w:t>Γρ</w:t>
            </w:r>
            <w:r w:rsidR="00F41D3F" w:rsidRPr="00C77524">
              <w:t xml:space="preserve"> κ</w:t>
            </w:r>
            <w:r w:rsidRPr="00C77524">
              <w:t>.</w:t>
            </w:r>
            <w:r w:rsidR="00C77524" w:rsidRPr="00C77524">
              <w:t xml:space="preserve"> Β΄ Γεν. Δ/ντή</w:t>
            </w:r>
          </w:p>
          <w:p w:rsidR="00B24532" w:rsidRPr="00C77524" w:rsidRDefault="004F34FA" w:rsidP="00205E67">
            <w:pPr>
              <w:pStyle w:val="ListParagraph"/>
              <w:numPr>
                <w:ilvl w:val="0"/>
                <w:numId w:val="3"/>
              </w:numPr>
            </w:pPr>
            <w:r>
              <w:t xml:space="preserve">Β1, </w:t>
            </w:r>
            <w:r w:rsidR="00C77524" w:rsidRPr="00C77524">
              <w:t>Β4, Β8 Δ/νσεις</w:t>
            </w:r>
          </w:p>
          <w:p w:rsidR="00FA424F" w:rsidRPr="00C77524" w:rsidRDefault="00FA424F" w:rsidP="00C77524">
            <w:pPr>
              <w:pStyle w:val="ListParagraph"/>
              <w:ind w:left="405"/>
            </w:pPr>
          </w:p>
        </w:tc>
      </w:tr>
      <w:tr w:rsidR="00C77524" w:rsidRPr="00C77524" w:rsidTr="00F41D3F">
        <w:tc>
          <w:tcPr>
            <w:tcW w:w="878" w:type="dxa"/>
          </w:tcPr>
          <w:p w:rsidR="00C77524" w:rsidRPr="00C77524" w:rsidRDefault="00C77524">
            <w:pPr>
              <w:spacing w:line="276" w:lineRule="auto"/>
              <w:rPr>
                <w:b/>
              </w:rPr>
            </w:pPr>
            <w:r w:rsidRPr="00C77524">
              <w:rPr>
                <w:b/>
              </w:rPr>
              <w:t>ΕΔ:</w:t>
            </w:r>
          </w:p>
        </w:tc>
        <w:tc>
          <w:tcPr>
            <w:tcW w:w="7581" w:type="dxa"/>
          </w:tcPr>
          <w:p w:rsidR="00C77524" w:rsidRPr="00C77524" w:rsidRDefault="00C77524" w:rsidP="0004697C">
            <w:pPr>
              <w:pStyle w:val="ListParagraph"/>
              <w:numPr>
                <w:ilvl w:val="0"/>
                <w:numId w:val="3"/>
              </w:numPr>
            </w:pPr>
            <w:r w:rsidRPr="00C77524">
              <w:t>Υπόψη κ. Πρέσβυ</w:t>
            </w:r>
            <w:r>
              <w:t xml:space="preserve"> (χ.σ.)</w:t>
            </w:r>
          </w:p>
        </w:tc>
      </w:tr>
    </w:tbl>
    <w:p w:rsidR="00FE7150" w:rsidRPr="00C77524" w:rsidRDefault="00FE7150" w:rsidP="00CA2C4A">
      <w:pPr>
        <w:ind w:left="360"/>
        <w:jc w:val="both"/>
        <w:rPr>
          <w:b/>
        </w:rPr>
      </w:pPr>
    </w:p>
    <w:p w:rsidR="00CA2C4A" w:rsidRPr="00C77524" w:rsidRDefault="0017017A" w:rsidP="004F34FA">
      <w:pPr>
        <w:ind w:left="-142"/>
        <w:jc w:val="both"/>
        <w:rPr>
          <w:b/>
          <w:bCs/>
        </w:rPr>
      </w:pPr>
      <w:r w:rsidRPr="00C77524">
        <w:rPr>
          <w:b/>
        </w:rPr>
        <w:t xml:space="preserve">ΘΕΜΑ: </w:t>
      </w:r>
      <w:r w:rsidR="00CC202F" w:rsidRPr="00C77524">
        <w:rPr>
          <w:b/>
        </w:rPr>
        <w:t>«</w:t>
      </w:r>
      <w:r w:rsidR="00416ABC">
        <w:rPr>
          <w:b/>
          <w:bCs/>
        </w:rPr>
        <w:t xml:space="preserve">Εκτιμήσεις νομικών επιπτώσεων αποτελέσματος βρετανικού δημοψηφίσματος σε δραστηριότητα επιχειρήσεων από </w:t>
      </w:r>
      <w:r w:rsidR="004F34FA">
        <w:rPr>
          <w:b/>
          <w:bCs/>
        </w:rPr>
        <w:t>δικηγορική</w:t>
      </w:r>
      <w:r w:rsidR="00416ABC">
        <w:rPr>
          <w:b/>
          <w:bCs/>
        </w:rPr>
        <w:t xml:space="preserve"> εταιρεία </w:t>
      </w:r>
      <w:r w:rsidR="00416ABC">
        <w:rPr>
          <w:b/>
          <w:bCs/>
          <w:lang w:val="en-GB"/>
        </w:rPr>
        <w:t>Allen</w:t>
      </w:r>
      <w:r w:rsidR="00416ABC" w:rsidRPr="00416ABC">
        <w:rPr>
          <w:b/>
          <w:bCs/>
        </w:rPr>
        <w:t xml:space="preserve"> &amp; </w:t>
      </w:r>
      <w:r w:rsidR="00416ABC">
        <w:rPr>
          <w:b/>
          <w:bCs/>
          <w:lang w:val="en-GB"/>
        </w:rPr>
        <w:t>Overy</w:t>
      </w:r>
      <w:r w:rsidR="00C77524">
        <w:rPr>
          <w:b/>
          <w:bCs/>
        </w:rPr>
        <w:t>»</w:t>
      </w:r>
    </w:p>
    <w:p w:rsidR="00CA2C4A" w:rsidRPr="00C77524" w:rsidRDefault="00CA2C4A" w:rsidP="00CA2C4A">
      <w:pPr>
        <w:jc w:val="center"/>
        <w:rPr>
          <w:b/>
          <w:bCs/>
        </w:rPr>
      </w:pPr>
    </w:p>
    <w:p w:rsidR="000E7939" w:rsidRDefault="00416ABC"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Σας επισυνάπτουμε άρθρο</w:t>
      </w:r>
      <w:r w:rsidR="005A3995" w:rsidRPr="005A3995">
        <w:rPr>
          <w:rFonts w:ascii="Times New Roman" w:hAnsi="Times New Roman"/>
        </w:rPr>
        <w:t>,</w:t>
      </w:r>
      <w:r>
        <w:rPr>
          <w:rFonts w:ascii="Times New Roman" w:hAnsi="Times New Roman"/>
        </w:rPr>
        <w:t xml:space="preserve"> </w:t>
      </w:r>
      <w:r w:rsidR="008A408A">
        <w:rPr>
          <w:rFonts w:ascii="Times New Roman" w:hAnsi="Times New Roman"/>
        </w:rPr>
        <w:t xml:space="preserve">που μας απέστειλε με ηλεκτρονικό ταχυδρομείο </w:t>
      </w:r>
      <w:r>
        <w:rPr>
          <w:rFonts w:ascii="Times New Roman" w:hAnsi="Times New Roman"/>
        </w:rPr>
        <w:t>εν θέματι αναφερόμενη εταιρεία, στο οποίο περιγράφονται οι εκτιμήσεις της για τις κυριότερες νομικές επιπτώσεις που μπορεί να έχει το αποτέλεσμα του πρόσφατου βρετανικού δημοψηφίσματος για τις εμπορικές επιχειρήσεις.</w:t>
      </w:r>
    </w:p>
    <w:p w:rsidR="008A408A" w:rsidRDefault="008A408A" w:rsidP="005A3995">
      <w:pPr>
        <w:pStyle w:val="NormalWeb"/>
        <w:spacing w:before="0" w:beforeAutospacing="0" w:after="0" w:afterAutospacing="0"/>
        <w:ind w:left="-142" w:right="-64" w:firstLine="720"/>
        <w:jc w:val="both"/>
        <w:rPr>
          <w:rFonts w:ascii="Times New Roman" w:hAnsi="Times New Roman"/>
        </w:rPr>
      </w:pPr>
    </w:p>
    <w:p w:rsidR="00416ABC" w:rsidRDefault="00416ABC"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 xml:space="preserve">Οι συντάκτες εκτιμούν ότι παρά το γεγονός ότι αυτή τη στιγμή είναι άγνωστος ο τρόπος και ο χρόνος </w:t>
      </w:r>
      <w:r w:rsidR="00D31B26">
        <w:rPr>
          <w:rFonts w:ascii="Times New Roman" w:hAnsi="Times New Roman"/>
        </w:rPr>
        <w:t>αποχώρησης του ΗΒ από την Ένωση, η έξοδος θα έχει επιπτώσεις στα νομικά δικαιώματα και υποχρεώσεις των εμπορικών εταίρων σε όλους τους τομείς. Το εν λόγω άρθρο αποσκοπεί να προσφέρει κάποιες πρώτες εκτιμήσεις και συμβουλές προς τους πελάτες της εταιρείας επί θεμάτων που ενδεχομένως θα ανακύψουν κατά το αμέσως επόμενο διάστημα, όπου θα κυριαρχήσει η αβεβαιότητα από το αποτέλεσμα του δημοψηφίσματος και του τρόπου υλοποίησης της εξόδου</w:t>
      </w:r>
      <w:r w:rsidR="00795C35">
        <w:rPr>
          <w:rFonts w:ascii="Times New Roman" w:hAnsi="Times New Roman"/>
        </w:rPr>
        <w:t>.</w:t>
      </w:r>
    </w:p>
    <w:p w:rsidR="008A408A" w:rsidRDefault="008A408A" w:rsidP="005A3995">
      <w:pPr>
        <w:pStyle w:val="NormalWeb"/>
        <w:spacing w:before="0" w:beforeAutospacing="0" w:after="0" w:afterAutospacing="0"/>
        <w:ind w:left="-142" w:right="-64" w:firstLine="720"/>
        <w:jc w:val="both"/>
        <w:rPr>
          <w:rFonts w:ascii="Times New Roman" w:hAnsi="Times New Roman"/>
        </w:rPr>
      </w:pPr>
    </w:p>
    <w:p w:rsidR="00B55553" w:rsidRDefault="00795C35"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Βασική παραδοχή του άρθρου είναι ότι η ευρωπαϊκή νομοθεσία είναι εν ισχύ στο ΗΒ μέχρι την επίσημη αποχώρησή του από την Ε.Ε. και ως κυριότερος άγνωστος παράγοντας, αυτή τη στιγμή είναι ποι</w:t>
      </w:r>
      <w:r w:rsidR="009750FA">
        <w:rPr>
          <w:rFonts w:ascii="Times New Roman" w:hAnsi="Times New Roman"/>
        </w:rPr>
        <w:t>ά</w:t>
      </w:r>
      <w:r>
        <w:rPr>
          <w:rFonts w:ascii="Times New Roman" w:hAnsi="Times New Roman"/>
        </w:rPr>
        <w:t xml:space="preserve"> τύπος συνεργασίας μετά την έξοδο, θα τεθεί υπό διαπραγμάτευση. Από νομική άποψη εκτιμάται ότι επί του παρόντος </w:t>
      </w:r>
      <w:r w:rsidR="00A46FE5">
        <w:rPr>
          <w:rFonts w:ascii="Times New Roman" w:hAnsi="Times New Roman"/>
        </w:rPr>
        <w:t>δεν υπάρχουν αλλαγές, όμως η μεταβλητότητα της</w:t>
      </w:r>
      <w:r w:rsidR="00FA4929">
        <w:rPr>
          <w:rFonts w:ascii="Times New Roman" w:hAnsi="Times New Roman"/>
        </w:rPr>
        <w:t xml:space="preserve"> αγοράς, λόγω</w:t>
      </w:r>
      <w:r w:rsidR="00A46FE5">
        <w:rPr>
          <w:rFonts w:ascii="Times New Roman" w:hAnsi="Times New Roman"/>
        </w:rPr>
        <w:t xml:space="preserve"> αποτ</w:t>
      </w:r>
      <w:r w:rsidR="00FA4929">
        <w:rPr>
          <w:rFonts w:ascii="Times New Roman" w:hAnsi="Times New Roman"/>
        </w:rPr>
        <w:t>ελέ</w:t>
      </w:r>
      <w:r w:rsidR="00A46FE5">
        <w:rPr>
          <w:rFonts w:ascii="Times New Roman" w:hAnsi="Times New Roman"/>
        </w:rPr>
        <w:t>σμα</w:t>
      </w:r>
      <w:r w:rsidR="00FA4929">
        <w:rPr>
          <w:rFonts w:ascii="Times New Roman" w:hAnsi="Times New Roman"/>
        </w:rPr>
        <w:t>τος δημοψηφίσματος, μπορεί να επηρεάσει τους όρους ήδη υπαρχόντων συμβολαίων.</w:t>
      </w:r>
      <w:r w:rsidR="00B55553">
        <w:rPr>
          <w:rFonts w:ascii="Times New Roman" w:hAnsi="Times New Roman"/>
        </w:rPr>
        <w:t xml:space="preserve"> </w:t>
      </w:r>
    </w:p>
    <w:p w:rsidR="008A408A" w:rsidRDefault="008A408A" w:rsidP="005A3995">
      <w:pPr>
        <w:pStyle w:val="NormalWeb"/>
        <w:spacing w:before="0" w:beforeAutospacing="0" w:after="0" w:afterAutospacing="0"/>
        <w:ind w:left="-142" w:right="-64" w:firstLine="720"/>
        <w:jc w:val="both"/>
        <w:rPr>
          <w:rFonts w:ascii="Times New Roman" w:hAnsi="Times New Roman"/>
        </w:rPr>
      </w:pPr>
    </w:p>
    <w:p w:rsidR="00795C35" w:rsidRDefault="00B55553"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Στο άρθρο αναφέρονται εκτιμήσει</w:t>
      </w:r>
      <w:r w:rsidR="00A26D1D">
        <w:rPr>
          <w:rFonts w:ascii="Times New Roman" w:hAnsi="Times New Roman"/>
        </w:rPr>
        <w:t xml:space="preserve">ς </w:t>
      </w:r>
      <w:r w:rsidR="00AD1AD1">
        <w:rPr>
          <w:rFonts w:ascii="Times New Roman" w:hAnsi="Times New Roman"/>
        </w:rPr>
        <w:t>για</w:t>
      </w:r>
      <w:r w:rsidR="00A26D1D">
        <w:rPr>
          <w:rFonts w:ascii="Times New Roman" w:hAnsi="Times New Roman"/>
        </w:rPr>
        <w:t xml:space="preserve"> θέματα που αφορούν την εφαρμογή του αγγλικού ή του ευρωπαϊκού δικαίου σε σειρά τομέων όπως ο χρηματοοικονομικός, η αγορά δανείων και κεφαλαίων, η αγορά εργασίας, η αντιμετώπιση και κατοχύρωση δικαιωμάτων πνευματικής ιδιοκτησίας και η επίλυση διαφορών</w:t>
      </w:r>
      <w:r w:rsidR="005A3995" w:rsidRPr="005A3995">
        <w:rPr>
          <w:rFonts w:ascii="Times New Roman" w:hAnsi="Times New Roman"/>
        </w:rPr>
        <w:t xml:space="preserve">, </w:t>
      </w:r>
      <w:r w:rsidR="005A3995">
        <w:rPr>
          <w:rFonts w:ascii="Times New Roman" w:hAnsi="Times New Roman"/>
        </w:rPr>
        <w:t>κατά την αμέσως επόμενη περίοδο.</w:t>
      </w:r>
    </w:p>
    <w:p w:rsidR="008A408A" w:rsidRDefault="008A408A" w:rsidP="005A3995">
      <w:pPr>
        <w:pStyle w:val="NormalWeb"/>
        <w:spacing w:before="0" w:beforeAutospacing="0" w:after="0" w:afterAutospacing="0"/>
        <w:ind w:left="-142" w:right="-64" w:firstLine="720"/>
        <w:jc w:val="both"/>
        <w:rPr>
          <w:rFonts w:ascii="Times New Roman" w:hAnsi="Times New Roman"/>
        </w:rPr>
      </w:pPr>
    </w:p>
    <w:p w:rsidR="00A26D1D" w:rsidRDefault="00A26D1D"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 xml:space="preserve">Το άρθρο έχει δημοσιευτεί και στον ιστότοπο του Γραφείου μας στη διαδικτυακή πύλη </w:t>
      </w:r>
      <w:r w:rsidR="008A408A">
        <w:rPr>
          <w:rFonts w:ascii="Times New Roman" w:hAnsi="Times New Roman"/>
          <w:lang w:val="en-GB"/>
        </w:rPr>
        <w:t>agora</w:t>
      </w:r>
      <w:r w:rsidR="008A408A">
        <w:rPr>
          <w:rFonts w:ascii="Times New Roman" w:hAnsi="Times New Roman"/>
        </w:rPr>
        <w:t xml:space="preserve"> (</w:t>
      </w:r>
      <w:hyperlink r:id="rId10" w:history="1">
        <w:r w:rsidR="008A408A" w:rsidRPr="00E27162">
          <w:rPr>
            <w:rStyle w:val="Hyperlink"/>
            <w:rFonts w:ascii="Times New Roman" w:hAnsi="Times New Roman"/>
            <w:lang w:val="en-GB"/>
          </w:rPr>
          <w:t>www</w:t>
        </w:r>
        <w:r w:rsidR="008A408A" w:rsidRPr="00E27162">
          <w:rPr>
            <w:rStyle w:val="Hyperlink"/>
            <w:rFonts w:ascii="Times New Roman" w:hAnsi="Times New Roman"/>
          </w:rPr>
          <w:t>.</w:t>
        </w:r>
        <w:r w:rsidR="008A408A" w:rsidRPr="00E27162">
          <w:rPr>
            <w:rStyle w:val="Hyperlink"/>
            <w:rFonts w:ascii="Times New Roman" w:hAnsi="Times New Roman"/>
            <w:lang w:val="en-GB"/>
          </w:rPr>
          <w:t>agora</w:t>
        </w:r>
        <w:r w:rsidR="008A408A" w:rsidRPr="00E27162">
          <w:rPr>
            <w:rStyle w:val="Hyperlink"/>
            <w:rFonts w:ascii="Times New Roman" w:hAnsi="Times New Roman"/>
          </w:rPr>
          <w:t>.</w:t>
        </w:r>
        <w:r w:rsidR="008A408A" w:rsidRPr="00E27162">
          <w:rPr>
            <w:rStyle w:val="Hyperlink"/>
            <w:rFonts w:ascii="Times New Roman" w:hAnsi="Times New Roman"/>
            <w:lang w:val="en-GB"/>
          </w:rPr>
          <w:t>mfa</w:t>
        </w:r>
        <w:r w:rsidR="008A408A" w:rsidRPr="00E27162">
          <w:rPr>
            <w:rStyle w:val="Hyperlink"/>
            <w:rFonts w:ascii="Times New Roman" w:hAnsi="Times New Roman"/>
          </w:rPr>
          <w:t>.</w:t>
        </w:r>
        <w:r w:rsidR="008A408A" w:rsidRPr="00E27162">
          <w:rPr>
            <w:rStyle w:val="Hyperlink"/>
            <w:rFonts w:ascii="Times New Roman" w:hAnsi="Times New Roman"/>
            <w:lang w:val="en-GB"/>
          </w:rPr>
          <w:t>gr</w:t>
        </w:r>
        <w:r w:rsidR="008A408A" w:rsidRPr="00E27162">
          <w:rPr>
            <w:rStyle w:val="Hyperlink"/>
            <w:rFonts w:ascii="Times New Roman" w:hAnsi="Times New Roman"/>
          </w:rPr>
          <w:t>/</w:t>
        </w:r>
        <w:r w:rsidR="008A408A" w:rsidRPr="00E27162">
          <w:rPr>
            <w:rStyle w:val="Hyperlink"/>
            <w:rFonts w:ascii="Times New Roman" w:hAnsi="Times New Roman"/>
            <w:lang w:val="en-GB"/>
          </w:rPr>
          <w:t>gb</w:t>
        </w:r>
        <w:r w:rsidR="008A408A" w:rsidRPr="00E27162">
          <w:rPr>
            <w:rStyle w:val="Hyperlink"/>
            <w:rFonts w:ascii="Times New Roman" w:hAnsi="Times New Roman"/>
          </w:rPr>
          <w:t>66</w:t>
        </w:r>
      </w:hyperlink>
      <w:r w:rsidR="008A408A" w:rsidRPr="008A408A">
        <w:rPr>
          <w:rFonts w:ascii="Times New Roman" w:hAnsi="Times New Roman"/>
        </w:rPr>
        <w:t xml:space="preserve">) </w:t>
      </w:r>
    </w:p>
    <w:p w:rsidR="008A408A" w:rsidRPr="008A408A" w:rsidRDefault="008A408A" w:rsidP="005A3995">
      <w:pPr>
        <w:pStyle w:val="NormalWeb"/>
        <w:spacing w:before="0" w:beforeAutospacing="0" w:after="0" w:afterAutospacing="0"/>
        <w:ind w:left="-142" w:right="-64" w:firstLine="720"/>
        <w:jc w:val="both"/>
        <w:rPr>
          <w:rFonts w:ascii="Times New Roman" w:hAnsi="Times New Roman"/>
        </w:rPr>
      </w:pPr>
    </w:p>
    <w:p w:rsidR="008A408A" w:rsidRPr="008A408A" w:rsidRDefault="008A408A" w:rsidP="005A3995">
      <w:pPr>
        <w:pStyle w:val="NormalWeb"/>
        <w:spacing w:before="0" w:beforeAutospacing="0" w:after="0" w:afterAutospacing="0"/>
        <w:ind w:left="-142" w:right="-64" w:firstLine="720"/>
        <w:jc w:val="both"/>
        <w:rPr>
          <w:rFonts w:ascii="Times New Roman" w:hAnsi="Times New Roman"/>
        </w:rPr>
      </w:pPr>
      <w:r>
        <w:rPr>
          <w:rFonts w:ascii="Times New Roman" w:hAnsi="Times New Roman"/>
        </w:rPr>
        <w:t>Παρακαλούμε για την κατά την κρίση σας ενημέρωση των μελών σας.</w:t>
      </w:r>
    </w:p>
    <w:p w:rsidR="00795C35" w:rsidRDefault="00795C35" w:rsidP="00C77524">
      <w:pPr>
        <w:pStyle w:val="NormalWeb"/>
        <w:spacing w:before="0" w:beforeAutospacing="0" w:after="0" w:afterAutospacing="0"/>
        <w:ind w:left="-142" w:right="-514" w:firstLine="720"/>
        <w:jc w:val="both"/>
        <w:rPr>
          <w:rFonts w:ascii="Times New Roman" w:hAnsi="Times New Roman"/>
        </w:rPr>
      </w:pPr>
      <w:r>
        <w:rPr>
          <w:rFonts w:ascii="Times New Roman" w:hAnsi="Times New Roman"/>
        </w:rPr>
        <w:t xml:space="preserve">  </w:t>
      </w:r>
    </w:p>
    <w:p w:rsidR="00416ABC" w:rsidRPr="00C77524" w:rsidRDefault="00416ABC" w:rsidP="00C77524">
      <w:pPr>
        <w:pStyle w:val="NormalWeb"/>
        <w:spacing w:before="0" w:beforeAutospacing="0" w:after="0" w:afterAutospacing="0"/>
        <w:ind w:left="-142" w:right="-514" w:firstLine="720"/>
        <w:jc w:val="both"/>
        <w:rPr>
          <w:rFonts w:ascii="Times New Roman" w:hAnsi="Times New Roman"/>
        </w:rPr>
      </w:pPr>
    </w:p>
    <w:p w:rsidR="00C77524" w:rsidRPr="00C77524" w:rsidRDefault="00C77524" w:rsidP="000E7939">
      <w:pPr>
        <w:pStyle w:val="NormalWeb"/>
        <w:spacing w:before="0" w:beforeAutospacing="0" w:after="0" w:afterAutospacing="0"/>
        <w:ind w:left="-540" w:right="-514" w:firstLine="720"/>
        <w:jc w:val="both"/>
        <w:rPr>
          <w:rFonts w:ascii="Times New Roman" w:hAnsi="Times New Roman"/>
        </w:rPr>
      </w:pPr>
    </w:p>
    <w:p w:rsidR="00274578" w:rsidRPr="00C77524" w:rsidRDefault="00274578" w:rsidP="00D26344">
      <w:pPr>
        <w:spacing w:line="276" w:lineRule="auto"/>
        <w:jc w:val="both"/>
      </w:pPr>
    </w:p>
    <w:p w:rsidR="00764F46" w:rsidRPr="00C77524" w:rsidRDefault="00274578" w:rsidP="00D26344">
      <w:pPr>
        <w:spacing w:line="276" w:lineRule="auto"/>
        <w:jc w:val="both"/>
      </w:pPr>
      <w:r w:rsidRPr="00C77524">
        <w:t xml:space="preserve"> </w:t>
      </w:r>
      <w:r w:rsidR="00005589" w:rsidRPr="00C77524">
        <w:tab/>
      </w:r>
      <w:r w:rsidR="00005589" w:rsidRPr="00C77524">
        <w:tab/>
      </w:r>
      <w:r w:rsidR="00005589" w:rsidRPr="00C77524">
        <w:tab/>
      </w:r>
      <w:r w:rsidR="00005589" w:rsidRPr="00C77524">
        <w:tab/>
      </w:r>
      <w:r w:rsidR="00005589" w:rsidRPr="00C77524">
        <w:tab/>
      </w:r>
      <w:r w:rsidR="00005589" w:rsidRPr="00C77524">
        <w:tab/>
      </w:r>
      <w:r w:rsidR="00005589" w:rsidRPr="00C77524">
        <w:tab/>
        <w:t xml:space="preserve"> </w:t>
      </w:r>
      <w:r w:rsidR="00730DDB" w:rsidRPr="00C77524">
        <w:t xml:space="preserve">  </w:t>
      </w:r>
      <w:r w:rsidR="00005589" w:rsidRPr="00C77524">
        <w:t>Ο Προϊστάμενος</w:t>
      </w:r>
    </w:p>
    <w:p w:rsidR="00005589" w:rsidRPr="00C77524" w:rsidRDefault="00005589" w:rsidP="00D26344">
      <w:pPr>
        <w:spacing w:line="276" w:lineRule="auto"/>
        <w:jc w:val="both"/>
      </w:pPr>
    </w:p>
    <w:p w:rsidR="000E7939" w:rsidRPr="00C77524" w:rsidRDefault="000E7939" w:rsidP="00D26344">
      <w:pPr>
        <w:spacing w:line="276" w:lineRule="auto"/>
        <w:jc w:val="both"/>
      </w:pPr>
    </w:p>
    <w:p w:rsidR="00C77524" w:rsidRPr="00C77524" w:rsidRDefault="00C77524" w:rsidP="00D26344">
      <w:pPr>
        <w:spacing w:line="276" w:lineRule="auto"/>
        <w:jc w:val="both"/>
      </w:pPr>
    </w:p>
    <w:p w:rsidR="00005589" w:rsidRPr="00C77524" w:rsidRDefault="00005589" w:rsidP="00D26344">
      <w:pPr>
        <w:spacing w:line="276" w:lineRule="auto"/>
        <w:jc w:val="both"/>
      </w:pPr>
      <w:r w:rsidRPr="00C77524">
        <w:tab/>
      </w:r>
      <w:r w:rsidRPr="00C77524">
        <w:tab/>
      </w:r>
      <w:r w:rsidRPr="00C77524">
        <w:tab/>
      </w:r>
      <w:r w:rsidRPr="00C77524">
        <w:tab/>
      </w:r>
      <w:r w:rsidRPr="00C77524">
        <w:tab/>
      </w:r>
      <w:r w:rsidRPr="00C77524">
        <w:tab/>
      </w:r>
      <w:r w:rsidRPr="00C77524">
        <w:tab/>
        <w:t xml:space="preserve">Αντώνιος Κατεπόδης </w:t>
      </w:r>
    </w:p>
    <w:p w:rsidR="00852036" w:rsidRPr="00C77524" w:rsidRDefault="00005589" w:rsidP="00D26344">
      <w:pPr>
        <w:spacing w:line="276" w:lineRule="auto"/>
        <w:jc w:val="both"/>
      </w:pPr>
      <w:r w:rsidRPr="00C77524">
        <w:tab/>
      </w:r>
      <w:r w:rsidRPr="00C77524">
        <w:tab/>
      </w:r>
      <w:r w:rsidRPr="00C77524">
        <w:tab/>
      </w:r>
      <w:r w:rsidRPr="00C77524">
        <w:tab/>
      </w:r>
      <w:r w:rsidRPr="00C77524">
        <w:tab/>
      </w:r>
      <w:r w:rsidRPr="00C77524">
        <w:tab/>
      </w:r>
      <w:r w:rsidRPr="00C77524">
        <w:tab/>
        <w:t xml:space="preserve"> Σύμβουλος ΟΕΥ Α΄</w:t>
      </w:r>
      <w:r w:rsidR="00852036" w:rsidRPr="00C77524">
        <w:tab/>
      </w:r>
    </w:p>
    <w:p w:rsidR="00C77524" w:rsidRPr="00C77524" w:rsidRDefault="00C77524" w:rsidP="00D26344">
      <w:pPr>
        <w:spacing w:line="276" w:lineRule="auto"/>
        <w:jc w:val="both"/>
      </w:pPr>
    </w:p>
    <w:p w:rsidR="00AD1AD1" w:rsidRDefault="00AD1AD1" w:rsidP="00D26344">
      <w:pPr>
        <w:spacing w:line="276" w:lineRule="auto"/>
        <w:jc w:val="both"/>
      </w:pPr>
    </w:p>
    <w:p w:rsidR="00C77524" w:rsidRDefault="00044307" w:rsidP="00D26344">
      <w:pPr>
        <w:spacing w:line="276" w:lineRule="auto"/>
        <w:jc w:val="both"/>
      </w:pPr>
      <w:r>
        <w:t xml:space="preserve">Συν.: </w:t>
      </w:r>
      <w:r w:rsidR="008A408A">
        <w:t>1</w:t>
      </w:r>
      <w:r w:rsidR="00C77524" w:rsidRPr="00C77524">
        <w:t xml:space="preserve"> αρχεί</w:t>
      </w:r>
      <w:r w:rsidR="008A408A">
        <w:t>ο</w:t>
      </w:r>
    </w:p>
    <w:p w:rsidR="008C599E" w:rsidRDefault="008C599E">
      <w:r>
        <w:br w:type="page"/>
      </w:r>
    </w:p>
    <w:p w:rsidR="008C599E" w:rsidRDefault="008C599E" w:rsidP="008C599E">
      <w:pPr>
        <w:spacing w:line="276" w:lineRule="auto"/>
        <w:jc w:val="center"/>
        <w:rPr>
          <w:b/>
        </w:rPr>
      </w:pPr>
      <w:r w:rsidRPr="008C599E">
        <w:rPr>
          <w:b/>
        </w:rPr>
        <w:lastRenderedPageBreak/>
        <w:t>ΠΙΝΑΚΑΣ ΑΠΟΔΕΚΤΩΝ</w:t>
      </w:r>
    </w:p>
    <w:p w:rsidR="008C599E" w:rsidRDefault="008C599E" w:rsidP="008C599E">
      <w:pPr>
        <w:spacing w:line="276" w:lineRule="auto"/>
        <w:rPr>
          <w:b/>
        </w:rPr>
      </w:pPr>
    </w:p>
    <w:p w:rsidR="008C599E" w:rsidRPr="008C599E" w:rsidRDefault="008C599E" w:rsidP="008C599E">
      <w:pPr>
        <w:pStyle w:val="ListParagraph"/>
        <w:numPr>
          <w:ilvl w:val="0"/>
          <w:numId w:val="3"/>
        </w:numPr>
        <w:spacing w:line="276" w:lineRule="auto"/>
        <w:rPr>
          <w:b/>
        </w:rPr>
      </w:pPr>
      <w:r>
        <w:t>ΣΕΒ</w:t>
      </w:r>
    </w:p>
    <w:p w:rsidR="008C599E" w:rsidRPr="008C599E" w:rsidRDefault="008C599E" w:rsidP="008C599E">
      <w:pPr>
        <w:pStyle w:val="ListParagraph"/>
        <w:numPr>
          <w:ilvl w:val="0"/>
          <w:numId w:val="3"/>
        </w:numPr>
        <w:spacing w:line="276" w:lineRule="auto"/>
        <w:rPr>
          <w:b/>
        </w:rPr>
      </w:pPr>
      <w:r>
        <w:t>ΣΒΒΕ</w:t>
      </w:r>
    </w:p>
    <w:p w:rsidR="008C599E" w:rsidRPr="008C599E" w:rsidRDefault="008C599E" w:rsidP="008C599E">
      <w:pPr>
        <w:pStyle w:val="ListParagraph"/>
        <w:numPr>
          <w:ilvl w:val="0"/>
          <w:numId w:val="3"/>
        </w:numPr>
        <w:spacing w:line="276" w:lineRule="auto"/>
        <w:rPr>
          <w:b/>
        </w:rPr>
      </w:pPr>
      <w:r>
        <w:t>ΣΒΘΚΕ</w:t>
      </w:r>
    </w:p>
    <w:p w:rsidR="008C599E" w:rsidRPr="008C599E" w:rsidRDefault="008C599E" w:rsidP="008C599E">
      <w:pPr>
        <w:pStyle w:val="ListParagraph"/>
        <w:numPr>
          <w:ilvl w:val="0"/>
          <w:numId w:val="3"/>
        </w:numPr>
        <w:spacing w:line="276" w:lineRule="auto"/>
        <w:rPr>
          <w:b/>
        </w:rPr>
      </w:pPr>
      <w:r>
        <w:t>ΠΣΕ</w:t>
      </w:r>
    </w:p>
    <w:p w:rsidR="008C599E" w:rsidRPr="008C599E" w:rsidRDefault="008C599E" w:rsidP="008C599E">
      <w:pPr>
        <w:pStyle w:val="ListParagraph"/>
        <w:numPr>
          <w:ilvl w:val="0"/>
          <w:numId w:val="3"/>
        </w:numPr>
        <w:spacing w:line="276" w:lineRule="auto"/>
        <w:rPr>
          <w:b/>
        </w:rPr>
      </w:pPr>
      <w:r>
        <w:t>ΣΕΒΕ</w:t>
      </w:r>
    </w:p>
    <w:p w:rsidR="008C599E" w:rsidRPr="008C599E" w:rsidRDefault="008C599E" w:rsidP="008C599E">
      <w:pPr>
        <w:pStyle w:val="ListParagraph"/>
        <w:numPr>
          <w:ilvl w:val="0"/>
          <w:numId w:val="3"/>
        </w:numPr>
        <w:spacing w:line="276" w:lineRule="auto"/>
        <w:rPr>
          <w:b/>
        </w:rPr>
      </w:pPr>
      <w:r>
        <w:t>ΣΕΚ</w:t>
      </w:r>
    </w:p>
    <w:p w:rsidR="008C599E" w:rsidRPr="008C599E" w:rsidRDefault="008C599E" w:rsidP="008C599E">
      <w:pPr>
        <w:pStyle w:val="ListParagraph"/>
        <w:numPr>
          <w:ilvl w:val="0"/>
          <w:numId w:val="3"/>
        </w:numPr>
        <w:spacing w:line="276" w:lineRule="auto"/>
        <w:rPr>
          <w:b/>
        </w:rPr>
      </w:pPr>
      <w:r>
        <w:t>Εμπορικά &amp; Βιομηχανικά Επιμελητήρια</w:t>
      </w:r>
    </w:p>
    <w:p w:rsidR="008C599E" w:rsidRPr="00387E35" w:rsidRDefault="008C599E" w:rsidP="008C599E">
      <w:pPr>
        <w:pStyle w:val="ListParagraph"/>
        <w:numPr>
          <w:ilvl w:val="0"/>
          <w:numId w:val="3"/>
        </w:numPr>
        <w:spacing w:line="276" w:lineRule="auto"/>
        <w:rPr>
          <w:b/>
        </w:rPr>
      </w:pPr>
      <w:r>
        <w:t>Βιοτεχνικά Επιμελητήρια</w:t>
      </w:r>
    </w:p>
    <w:p w:rsidR="00387E35" w:rsidRPr="008C599E" w:rsidRDefault="00387E35" w:rsidP="008C599E">
      <w:pPr>
        <w:pStyle w:val="ListParagraph"/>
        <w:numPr>
          <w:ilvl w:val="0"/>
          <w:numId w:val="3"/>
        </w:numPr>
        <w:spacing w:line="276" w:lineRule="auto"/>
        <w:rPr>
          <w:b/>
        </w:rPr>
      </w:pPr>
      <w:r>
        <w:t>ΕΧΑΕ</w:t>
      </w:r>
    </w:p>
    <w:p w:rsidR="008C599E" w:rsidRPr="008C599E" w:rsidRDefault="008C599E" w:rsidP="008C599E">
      <w:pPr>
        <w:pStyle w:val="ListParagraph"/>
        <w:spacing w:line="276" w:lineRule="auto"/>
        <w:ind w:left="405"/>
        <w:rPr>
          <w:b/>
        </w:rPr>
      </w:pPr>
    </w:p>
    <w:sectPr w:rsidR="008C599E" w:rsidRPr="008C599E" w:rsidSect="009B3C67">
      <w:footerReference w:type="default" r:id="rId11"/>
      <w:pgSz w:w="11906" w:h="16838"/>
      <w:pgMar w:top="1080" w:right="1800" w:bottom="1170" w:left="1800" w:header="708" w:footer="3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D1D" w:rsidRPr="00B24532" w:rsidRDefault="00A26D1D">
      <w:pPr>
        <w:rPr>
          <w:sz w:val="21"/>
          <w:szCs w:val="21"/>
        </w:rPr>
      </w:pPr>
      <w:r w:rsidRPr="00B24532">
        <w:rPr>
          <w:sz w:val="21"/>
          <w:szCs w:val="21"/>
        </w:rPr>
        <w:separator/>
      </w:r>
    </w:p>
  </w:endnote>
  <w:endnote w:type="continuationSeparator" w:id="0">
    <w:p w:rsidR="00A26D1D" w:rsidRPr="00B24532" w:rsidRDefault="00A26D1D">
      <w:pPr>
        <w:rPr>
          <w:sz w:val="21"/>
          <w:szCs w:val="21"/>
        </w:rPr>
      </w:pPr>
      <w:r w:rsidRPr="00B24532">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17503502"/>
      <w:docPartObj>
        <w:docPartGallery w:val="Page Numbers (Bottom of Page)"/>
        <w:docPartUnique/>
      </w:docPartObj>
    </w:sdtPr>
    <w:sdtContent>
      <w:p w:rsidR="00A26D1D" w:rsidRPr="00B24532" w:rsidRDefault="00F01D89">
        <w:pPr>
          <w:pStyle w:val="Footer"/>
          <w:jc w:val="right"/>
          <w:rPr>
            <w:sz w:val="22"/>
            <w:szCs w:val="22"/>
          </w:rPr>
        </w:pPr>
        <w:r w:rsidRPr="00B24532">
          <w:rPr>
            <w:sz w:val="22"/>
            <w:szCs w:val="22"/>
          </w:rPr>
          <w:fldChar w:fldCharType="begin"/>
        </w:r>
        <w:r w:rsidR="00A26D1D" w:rsidRPr="00B24532">
          <w:rPr>
            <w:sz w:val="22"/>
            <w:szCs w:val="22"/>
          </w:rPr>
          <w:instrText xml:space="preserve"> PAGE   \* MERGEFORMAT </w:instrText>
        </w:r>
        <w:r w:rsidRPr="00B24532">
          <w:rPr>
            <w:sz w:val="22"/>
            <w:szCs w:val="22"/>
          </w:rPr>
          <w:fldChar w:fldCharType="separate"/>
        </w:r>
        <w:r w:rsidR="00D85D11">
          <w:rPr>
            <w:noProof/>
            <w:sz w:val="22"/>
            <w:szCs w:val="22"/>
          </w:rPr>
          <w:t>2</w:t>
        </w:r>
        <w:r w:rsidRPr="00B24532">
          <w:rPr>
            <w:sz w:val="22"/>
            <w:szCs w:val="22"/>
          </w:rPr>
          <w:fldChar w:fldCharType="end"/>
        </w:r>
      </w:p>
    </w:sdtContent>
  </w:sdt>
  <w:p w:rsidR="00A26D1D" w:rsidRPr="00B24532" w:rsidRDefault="00A26D1D">
    <w:pPr>
      <w:pStyle w:val="Footer"/>
      <w:rPr>
        <w:sz w:val="21"/>
        <w:szCs w:val="21"/>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D1D" w:rsidRPr="00B24532" w:rsidRDefault="00A26D1D">
      <w:pPr>
        <w:rPr>
          <w:sz w:val="21"/>
          <w:szCs w:val="21"/>
        </w:rPr>
      </w:pPr>
      <w:r w:rsidRPr="00B24532">
        <w:rPr>
          <w:sz w:val="21"/>
          <w:szCs w:val="21"/>
        </w:rPr>
        <w:separator/>
      </w:r>
    </w:p>
  </w:footnote>
  <w:footnote w:type="continuationSeparator" w:id="0">
    <w:p w:rsidR="00A26D1D" w:rsidRPr="00B24532" w:rsidRDefault="00A26D1D">
      <w:pPr>
        <w:rPr>
          <w:sz w:val="21"/>
          <w:szCs w:val="21"/>
        </w:rPr>
      </w:pPr>
      <w:r w:rsidRPr="00B24532">
        <w:rPr>
          <w:sz w:val="21"/>
          <w:szCs w:val="21"/>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4DF5"/>
    <w:multiLevelType w:val="hybridMultilevel"/>
    <w:tmpl w:val="2CCA8CDE"/>
    <w:lvl w:ilvl="0" w:tplc="F1FAC446">
      <w:numFmt w:val="bullet"/>
      <w:lvlText w:val="-"/>
      <w:lvlJc w:val="left"/>
      <w:pPr>
        <w:tabs>
          <w:tab w:val="num" w:pos="480"/>
        </w:tabs>
        <w:ind w:left="480" w:hanging="360"/>
      </w:pPr>
      <w:rPr>
        <w:rFonts w:ascii="Times New Roman" w:eastAsia="Times New Roman" w:hAnsi="Times New Roman" w:cs="Times New Roman" w:hint="default"/>
      </w:rPr>
    </w:lvl>
    <w:lvl w:ilvl="1" w:tplc="04080003" w:tentative="1">
      <w:start w:val="1"/>
      <w:numFmt w:val="bullet"/>
      <w:lvlText w:val="o"/>
      <w:lvlJc w:val="left"/>
      <w:pPr>
        <w:tabs>
          <w:tab w:val="num" w:pos="1200"/>
        </w:tabs>
        <w:ind w:left="1200" w:hanging="360"/>
      </w:pPr>
      <w:rPr>
        <w:rFonts w:ascii="Courier New" w:hAnsi="Courier New" w:hint="default"/>
      </w:rPr>
    </w:lvl>
    <w:lvl w:ilvl="2" w:tplc="04080005" w:tentative="1">
      <w:start w:val="1"/>
      <w:numFmt w:val="bullet"/>
      <w:lvlText w:val=""/>
      <w:lvlJc w:val="left"/>
      <w:pPr>
        <w:tabs>
          <w:tab w:val="num" w:pos="1920"/>
        </w:tabs>
        <w:ind w:left="1920" w:hanging="360"/>
      </w:pPr>
      <w:rPr>
        <w:rFonts w:ascii="Wingdings" w:hAnsi="Wingdings" w:hint="default"/>
      </w:rPr>
    </w:lvl>
    <w:lvl w:ilvl="3" w:tplc="04080001" w:tentative="1">
      <w:start w:val="1"/>
      <w:numFmt w:val="bullet"/>
      <w:lvlText w:val=""/>
      <w:lvlJc w:val="left"/>
      <w:pPr>
        <w:tabs>
          <w:tab w:val="num" w:pos="2640"/>
        </w:tabs>
        <w:ind w:left="2640" w:hanging="360"/>
      </w:pPr>
      <w:rPr>
        <w:rFonts w:ascii="Symbol" w:hAnsi="Symbol" w:hint="default"/>
      </w:rPr>
    </w:lvl>
    <w:lvl w:ilvl="4" w:tplc="04080003" w:tentative="1">
      <w:start w:val="1"/>
      <w:numFmt w:val="bullet"/>
      <w:lvlText w:val="o"/>
      <w:lvlJc w:val="left"/>
      <w:pPr>
        <w:tabs>
          <w:tab w:val="num" w:pos="3360"/>
        </w:tabs>
        <w:ind w:left="3360" w:hanging="360"/>
      </w:pPr>
      <w:rPr>
        <w:rFonts w:ascii="Courier New" w:hAnsi="Courier New" w:hint="default"/>
      </w:rPr>
    </w:lvl>
    <w:lvl w:ilvl="5" w:tplc="04080005" w:tentative="1">
      <w:start w:val="1"/>
      <w:numFmt w:val="bullet"/>
      <w:lvlText w:val=""/>
      <w:lvlJc w:val="left"/>
      <w:pPr>
        <w:tabs>
          <w:tab w:val="num" w:pos="4080"/>
        </w:tabs>
        <w:ind w:left="4080" w:hanging="360"/>
      </w:pPr>
      <w:rPr>
        <w:rFonts w:ascii="Wingdings" w:hAnsi="Wingdings" w:hint="default"/>
      </w:rPr>
    </w:lvl>
    <w:lvl w:ilvl="6" w:tplc="04080001" w:tentative="1">
      <w:start w:val="1"/>
      <w:numFmt w:val="bullet"/>
      <w:lvlText w:val=""/>
      <w:lvlJc w:val="left"/>
      <w:pPr>
        <w:tabs>
          <w:tab w:val="num" w:pos="4800"/>
        </w:tabs>
        <w:ind w:left="4800" w:hanging="360"/>
      </w:pPr>
      <w:rPr>
        <w:rFonts w:ascii="Symbol" w:hAnsi="Symbol" w:hint="default"/>
      </w:rPr>
    </w:lvl>
    <w:lvl w:ilvl="7" w:tplc="04080003" w:tentative="1">
      <w:start w:val="1"/>
      <w:numFmt w:val="bullet"/>
      <w:lvlText w:val="o"/>
      <w:lvlJc w:val="left"/>
      <w:pPr>
        <w:tabs>
          <w:tab w:val="num" w:pos="5520"/>
        </w:tabs>
        <w:ind w:left="5520" w:hanging="360"/>
      </w:pPr>
      <w:rPr>
        <w:rFonts w:ascii="Courier New" w:hAnsi="Courier New" w:hint="default"/>
      </w:rPr>
    </w:lvl>
    <w:lvl w:ilvl="8" w:tplc="04080005" w:tentative="1">
      <w:start w:val="1"/>
      <w:numFmt w:val="bullet"/>
      <w:lvlText w:val=""/>
      <w:lvlJc w:val="left"/>
      <w:pPr>
        <w:tabs>
          <w:tab w:val="num" w:pos="6240"/>
        </w:tabs>
        <w:ind w:left="6240" w:hanging="360"/>
      </w:pPr>
      <w:rPr>
        <w:rFonts w:ascii="Wingdings" w:hAnsi="Wingdings" w:hint="default"/>
      </w:rPr>
    </w:lvl>
  </w:abstractNum>
  <w:abstractNum w:abstractNumId="1">
    <w:nsid w:val="10681586"/>
    <w:multiLevelType w:val="hybridMultilevel"/>
    <w:tmpl w:val="E8BE63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CF6B66"/>
    <w:multiLevelType w:val="hybridMultilevel"/>
    <w:tmpl w:val="F900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553545"/>
    <w:multiLevelType w:val="hybridMultilevel"/>
    <w:tmpl w:val="5A2CE012"/>
    <w:lvl w:ilvl="0" w:tplc="CCB86496">
      <w:numFmt w:val="bullet"/>
      <w:lvlText w:val="-"/>
      <w:lvlJc w:val="left"/>
      <w:pPr>
        <w:ind w:left="1080" w:hanging="36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AB3475F"/>
    <w:multiLevelType w:val="hybridMultilevel"/>
    <w:tmpl w:val="CB54F5F0"/>
    <w:lvl w:ilvl="0" w:tplc="D3E81A7E">
      <w:numFmt w:val="bullet"/>
      <w:lvlText w:val="-"/>
      <w:lvlJc w:val="left"/>
      <w:pPr>
        <w:tabs>
          <w:tab w:val="num" w:pos="780"/>
        </w:tabs>
        <w:ind w:left="780" w:hanging="4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655173D"/>
    <w:multiLevelType w:val="hybridMultilevel"/>
    <w:tmpl w:val="6B2E64E8"/>
    <w:lvl w:ilvl="0" w:tplc="4A086FAA">
      <w:numFmt w:val="bullet"/>
      <w:lvlText w:val="-"/>
      <w:lvlJc w:val="left"/>
      <w:pPr>
        <w:ind w:left="405" w:hanging="360"/>
      </w:pPr>
      <w:rPr>
        <w:rFonts w:ascii="Book Antiqua" w:eastAsia="Times New Roman" w:hAnsi="Book Antiqua" w:cs="Times New Roman" w:hint="default"/>
        <w:b/>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nsid w:val="7D69705F"/>
    <w:multiLevelType w:val="hybridMultilevel"/>
    <w:tmpl w:val="D54424FC"/>
    <w:lvl w:ilvl="0" w:tplc="0A9A0848">
      <w:start w:val="4"/>
      <w:numFmt w:val="bullet"/>
      <w:lvlText w:val="-"/>
      <w:lvlJc w:val="left"/>
      <w:pPr>
        <w:tabs>
          <w:tab w:val="num" w:pos="1080"/>
        </w:tabs>
        <w:ind w:left="1080" w:hanging="360"/>
      </w:pPr>
      <w:rPr>
        <w:rFonts w:ascii="Book Antiqua" w:eastAsia="Times New Roman" w:hAnsi="Book Antiqua" w:cs="Times New Roman"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366842"/>
    <w:rsid w:val="00003C77"/>
    <w:rsid w:val="00005589"/>
    <w:rsid w:val="000146CC"/>
    <w:rsid w:val="00027502"/>
    <w:rsid w:val="00037368"/>
    <w:rsid w:val="0003769C"/>
    <w:rsid w:val="00044307"/>
    <w:rsid w:val="00046085"/>
    <w:rsid w:val="0004697C"/>
    <w:rsid w:val="000545BF"/>
    <w:rsid w:val="00082042"/>
    <w:rsid w:val="00084219"/>
    <w:rsid w:val="000954AA"/>
    <w:rsid w:val="000A2420"/>
    <w:rsid w:val="000A61F1"/>
    <w:rsid w:val="000C7989"/>
    <w:rsid w:val="000E32B1"/>
    <w:rsid w:val="000E7939"/>
    <w:rsid w:val="0011129C"/>
    <w:rsid w:val="00113416"/>
    <w:rsid w:val="00115F37"/>
    <w:rsid w:val="00131DD4"/>
    <w:rsid w:val="0017017A"/>
    <w:rsid w:val="001A00D4"/>
    <w:rsid w:val="001A134B"/>
    <w:rsid w:val="001A639B"/>
    <w:rsid w:val="001A6965"/>
    <w:rsid w:val="001C649B"/>
    <w:rsid w:val="001E0260"/>
    <w:rsid w:val="001E34DB"/>
    <w:rsid w:val="00203DC8"/>
    <w:rsid w:val="00205E67"/>
    <w:rsid w:val="00236190"/>
    <w:rsid w:val="0024253D"/>
    <w:rsid w:val="00263A08"/>
    <w:rsid w:val="0026487D"/>
    <w:rsid w:val="00274578"/>
    <w:rsid w:val="002A7306"/>
    <w:rsid w:val="002C3AA0"/>
    <w:rsid w:val="003235D8"/>
    <w:rsid w:val="00333055"/>
    <w:rsid w:val="00354144"/>
    <w:rsid w:val="0035783B"/>
    <w:rsid w:val="00366842"/>
    <w:rsid w:val="003856F3"/>
    <w:rsid w:val="00385B7F"/>
    <w:rsid w:val="00387E35"/>
    <w:rsid w:val="003A0F3E"/>
    <w:rsid w:val="003C0733"/>
    <w:rsid w:val="003F465E"/>
    <w:rsid w:val="003F7A4D"/>
    <w:rsid w:val="004064A9"/>
    <w:rsid w:val="00411CDB"/>
    <w:rsid w:val="00416ABC"/>
    <w:rsid w:val="00416E5F"/>
    <w:rsid w:val="00425145"/>
    <w:rsid w:val="00444A0B"/>
    <w:rsid w:val="00447385"/>
    <w:rsid w:val="00451014"/>
    <w:rsid w:val="00454176"/>
    <w:rsid w:val="004642B9"/>
    <w:rsid w:val="0048019E"/>
    <w:rsid w:val="004D0C74"/>
    <w:rsid w:val="004D6858"/>
    <w:rsid w:val="004F17D3"/>
    <w:rsid w:val="004F34FA"/>
    <w:rsid w:val="005143B9"/>
    <w:rsid w:val="00542B70"/>
    <w:rsid w:val="00577F58"/>
    <w:rsid w:val="0058257C"/>
    <w:rsid w:val="00596D44"/>
    <w:rsid w:val="005A3995"/>
    <w:rsid w:val="005B3265"/>
    <w:rsid w:val="005B640E"/>
    <w:rsid w:val="005D33E5"/>
    <w:rsid w:val="005E4C8E"/>
    <w:rsid w:val="005F7CA2"/>
    <w:rsid w:val="00627F0B"/>
    <w:rsid w:val="00693B4E"/>
    <w:rsid w:val="006B3CF6"/>
    <w:rsid w:val="006B3F60"/>
    <w:rsid w:val="006E7097"/>
    <w:rsid w:val="00730BF5"/>
    <w:rsid w:val="00730DDB"/>
    <w:rsid w:val="00733310"/>
    <w:rsid w:val="00737EA3"/>
    <w:rsid w:val="00742E9D"/>
    <w:rsid w:val="00750D4F"/>
    <w:rsid w:val="00752A57"/>
    <w:rsid w:val="00753E3D"/>
    <w:rsid w:val="00764F46"/>
    <w:rsid w:val="00782619"/>
    <w:rsid w:val="00783ED3"/>
    <w:rsid w:val="007862F3"/>
    <w:rsid w:val="00795C35"/>
    <w:rsid w:val="007969EF"/>
    <w:rsid w:val="007C7F26"/>
    <w:rsid w:val="007E46B1"/>
    <w:rsid w:val="00823C51"/>
    <w:rsid w:val="00833879"/>
    <w:rsid w:val="00852036"/>
    <w:rsid w:val="00865B29"/>
    <w:rsid w:val="008772A4"/>
    <w:rsid w:val="0088610D"/>
    <w:rsid w:val="008A107B"/>
    <w:rsid w:val="008A3023"/>
    <w:rsid w:val="008A408A"/>
    <w:rsid w:val="008C1072"/>
    <w:rsid w:val="008C599E"/>
    <w:rsid w:val="008D1D1A"/>
    <w:rsid w:val="008F2489"/>
    <w:rsid w:val="008F371F"/>
    <w:rsid w:val="00941AA4"/>
    <w:rsid w:val="00953B8B"/>
    <w:rsid w:val="00954CD6"/>
    <w:rsid w:val="00954EFB"/>
    <w:rsid w:val="009750FA"/>
    <w:rsid w:val="009911BE"/>
    <w:rsid w:val="009A1676"/>
    <w:rsid w:val="009A4EFA"/>
    <w:rsid w:val="009B3C67"/>
    <w:rsid w:val="009C2972"/>
    <w:rsid w:val="009C34F8"/>
    <w:rsid w:val="009C4C2C"/>
    <w:rsid w:val="009C5623"/>
    <w:rsid w:val="009E7103"/>
    <w:rsid w:val="009E7706"/>
    <w:rsid w:val="009F2396"/>
    <w:rsid w:val="00A26D1D"/>
    <w:rsid w:val="00A26F6C"/>
    <w:rsid w:val="00A42472"/>
    <w:rsid w:val="00A46FE5"/>
    <w:rsid w:val="00A4708C"/>
    <w:rsid w:val="00A5429A"/>
    <w:rsid w:val="00A74754"/>
    <w:rsid w:val="00A9124A"/>
    <w:rsid w:val="00A954D2"/>
    <w:rsid w:val="00AB76AE"/>
    <w:rsid w:val="00AD1AD1"/>
    <w:rsid w:val="00AD26D2"/>
    <w:rsid w:val="00AE4A15"/>
    <w:rsid w:val="00B00C35"/>
    <w:rsid w:val="00B1474B"/>
    <w:rsid w:val="00B16A53"/>
    <w:rsid w:val="00B24532"/>
    <w:rsid w:val="00B377A1"/>
    <w:rsid w:val="00B55553"/>
    <w:rsid w:val="00B5708A"/>
    <w:rsid w:val="00B7086A"/>
    <w:rsid w:val="00B9760C"/>
    <w:rsid w:val="00B976DF"/>
    <w:rsid w:val="00BB348C"/>
    <w:rsid w:val="00BC30A7"/>
    <w:rsid w:val="00BF76E9"/>
    <w:rsid w:val="00C003E5"/>
    <w:rsid w:val="00C3288A"/>
    <w:rsid w:val="00C40977"/>
    <w:rsid w:val="00C44E01"/>
    <w:rsid w:val="00C53BF1"/>
    <w:rsid w:val="00C7040A"/>
    <w:rsid w:val="00C77524"/>
    <w:rsid w:val="00C87C9E"/>
    <w:rsid w:val="00CA2C4A"/>
    <w:rsid w:val="00CC202F"/>
    <w:rsid w:val="00CC7B27"/>
    <w:rsid w:val="00CF0E73"/>
    <w:rsid w:val="00CF611E"/>
    <w:rsid w:val="00D00504"/>
    <w:rsid w:val="00D160C5"/>
    <w:rsid w:val="00D2189F"/>
    <w:rsid w:val="00D25F26"/>
    <w:rsid w:val="00D26344"/>
    <w:rsid w:val="00D31B26"/>
    <w:rsid w:val="00D35C15"/>
    <w:rsid w:val="00D52284"/>
    <w:rsid w:val="00D5542B"/>
    <w:rsid w:val="00D66484"/>
    <w:rsid w:val="00D74DA4"/>
    <w:rsid w:val="00D85D11"/>
    <w:rsid w:val="00DB2D10"/>
    <w:rsid w:val="00DC3768"/>
    <w:rsid w:val="00DE5A08"/>
    <w:rsid w:val="00DF01DE"/>
    <w:rsid w:val="00DF73DE"/>
    <w:rsid w:val="00E17BAD"/>
    <w:rsid w:val="00E2131F"/>
    <w:rsid w:val="00E25EBA"/>
    <w:rsid w:val="00E33D29"/>
    <w:rsid w:val="00E4275E"/>
    <w:rsid w:val="00E467B5"/>
    <w:rsid w:val="00E62104"/>
    <w:rsid w:val="00E66CF0"/>
    <w:rsid w:val="00E9503B"/>
    <w:rsid w:val="00ED5F57"/>
    <w:rsid w:val="00ED7571"/>
    <w:rsid w:val="00EE01CA"/>
    <w:rsid w:val="00F01D89"/>
    <w:rsid w:val="00F20EBE"/>
    <w:rsid w:val="00F41D3F"/>
    <w:rsid w:val="00F4459C"/>
    <w:rsid w:val="00F51641"/>
    <w:rsid w:val="00F70D49"/>
    <w:rsid w:val="00F772B6"/>
    <w:rsid w:val="00F87963"/>
    <w:rsid w:val="00FA424F"/>
    <w:rsid w:val="00FA4929"/>
    <w:rsid w:val="00FA701B"/>
    <w:rsid w:val="00FB148A"/>
    <w:rsid w:val="00FD76DE"/>
    <w:rsid w:val="00FE7150"/>
    <w:rsid w:val="00FF7B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40E"/>
    <w:rPr>
      <w:sz w:val="24"/>
      <w:szCs w:val="24"/>
      <w:lang w:val="el-GR" w:eastAsia="el-GR"/>
    </w:rPr>
  </w:style>
  <w:style w:type="paragraph" w:styleId="Heading1">
    <w:name w:val="heading 1"/>
    <w:basedOn w:val="Normal"/>
    <w:next w:val="Normal"/>
    <w:qFormat/>
    <w:rsid w:val="005B640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5B640E"/>
    <w:pPr>
      <w:keepNext/>
      <w:spacing w:line="276" w:lineRule="auto"/>
      <w:ind w:firstLine="720"/>
      <w:jc w:val="both"/>
      <w:outlineLvl w:val="1"/>
    </w:pPr>
    <w:rPr>
      <w:rFonts w:ascii="Book Antiqua" w:hAnsi="Book Antiqua"/>
      <w:sz w:val="22"/>
      <w:szCs w:val="22"/>
      <w:u w:val="single"/>
    </w:rPr>
  </w:style>
  <w:style w:type="paragraph" w:styleId="Heading3">
    <w:name w:val="heading 3"/>
    <w:basedOn w:val="Normal"/>
    <w:next w:val="Normal"/>
    <w:qFormat/>
    <w:rsid w:val="005B640E"/>
    <w:pPr>
      <w:keepNext/>
      <w:spacing w:line="276" w:lineRule="auto"/>
      <w:outlineLvl w:val="2"/>
    </w:pPr>
    <w:rPr>
      <w:rFonts w:ascii="Book Antiqua" w:hAnsi="Book Antiqu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B640E"/>
    <w:rPr>
      <w:color w:val="0000FF"/>
      <w:u w:val="single"/>
    </w:rPr>
  </w:style>
  <w:style w:type="character" w:styleId="FollowedHyperlink">
    <w:name w:val="FollowedHyperlink"/>
    <w:basedOn w:val="DefaultParagraphFont"/>
    <w:rsid w:val="005B640E"/>
    <w:rPr>
      <w:color w:val="800080"/>
      <w:u w:val="single"/>
    </w:rPr>
  </w:style>
  <w:style w:type="paragraph" w:styleId="Header">
    <w:name w:val="header"/>
    <w:basedOn w:val="Normal"/>
    <w:rsid w:val="005B640E"/>
    <w:pPr>
      <w:tabs>
        <w:tab w:val="center" w:pos="4153"/>
        <w:tab w:val="right" w:pos="8306"/>
      </w:tabs>
    </w:pPr>
  </w:style>
  <w:style w:type="paragraph" w:styleId="Footer">
    <w:name w:val="footer"/>
    <w:basedOn w:val="Normal"/>
    <w:link w:val="FooterChar"/>
    <w:uiPriority w:val="99"/>
    <w:rsid w:val="005B640E"/>
    <w:pPr>
      <w:tabs>
        <w:tab w:val="center" w:pos="4153"/>
        <w:tab w:val="right" w:pos="8306"/>
      </w:tabs>
    </w:pPr>
  </w:style>
  <w:style w:type="paragraph" w:styleId="BodyTextIndent">
    <w:name w:val="Body Text Indent"/>
    <w:basedOn w:val="Normal"/>
    <w:rsid w:val="005B640E"/>
    <w:pPr>
      <w:spacing w:line="276" w:lineRule="auto"/>
      <w:ind w:firstLine="720"/>
      <w:jc w:val="both"/>
    </w:pPr>
    <w:rPr>
      <w:rFonts w:ascii="Book Antiqua" w:hAnsi="Book Antiqua"/>
      <w:sz w:val="22"/>
      <w:szCs w:val="22"/>
    </w:rPr>
  </w:style>
  <w:style w:type="paragraph" w:styleId="NoSpacing">
    <w:name w:val="No Spacing"/>
    <w:qFormat/>
    <w:rsid w:val="005B640E"/>
    <w:rPr>
      <w:sz w:val="24"/>
      <w:szCs w:val="24"/>
      <w:lang w:val="el-GR" w:eastAsia="el-GR"/>
    </w:rPr>
  </w:style>
  <w:style w:type="character" w:customStyle="1" w:styleId="Heading1Char">
    <w:name w:val="Heading 1 Char"/>
    <w:basedOn w:val="DefaultParagraphFont"/>
    <w:rsid w:val="005B640E"/>
    <w:rPr>
      <w:rFonts w:ascii="Cambria" w:eastAsia="Times New Roman" w:hAnsi="Cambria" w:cs="Times New Roman"/>
      <w:b/>
      <w:bCs/>
      <w:kern w:val="32"/>
      <w:sz w:val="32"/>
      <w:szCs w:val="32"/>
      <w:lang w:val="el-GR" w:eastAsia="el-GR"/>
    </w:rPr>
  </w:style>
  <w:style w:type="character" w:styleId="Emphasis">
    <w:name w:val="Emphasis"/>
    <w:basedOn w:val="DefaultParagraphFont"/>
    <w:qFormat/>
    <w:rsid w:val="005B640E"/>
    <w:rPr>
      <w:i/>
      <w:iCs/>
    </w:rPr>
  </w:style>
  <w:style w:type="paragraph" w:styleId="BalloonText">
    <w:name w:val="Balloon Text"/>
    <w:basedOn w:val="Normal"/>
    <w:link w:val="BalloonTextChar"/>
    <w:rsid w:val="00954EFB"/>
    <w:rPr>
      <w:rFonts w:ascii="Tahoma" w:hAnsi="Tahoma" w:cs="Tahoma"/>
      <w:sz w:val="16"/>
      <w:szCs w:val="16"/>
    </w:rPr>
  </w:style>
  <w:style w:type="character" w:customStyle="1" w:styleId="BalloonTextChar">
    <w:name w:val="Balloon Text Char"/>
    <w:basedOn w:val="DefaultParagraphFont"/>
    <w:link w:val="BalloonText"/>
    <w:rsid w:val="00954EFB"/>
    <w:rPr>
      <w:rFonts w:ascii="Tahoma" w:hAnsi="Tahoma" w:cs="Tahoma"/>
      <w:sz w:val="16"/>
      <w:szCs w:val="16"/>
      <w:lang w:val="el-GR" w:eastAsia="el-GR"/>
    </w:rPr>
  </w:style>
  <w:style w:type="table" w:styleId="TableGrid">
    <w:name w:val="Table Grid"/>
    <w:basedOn w:val="TableNormal"/>
    <w:rsid w:val="00B147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0733"/>
    <w:pPr>
      <w:ind w:left="720"/>
      <w:contextualSpacing/>
    </w:pPr>
  </w:style>
  <w:style w:type="paragraph" w:styleId="NormalWeb">
    <w:name w:val="Normal (Web)"/>
    <w:basedOn w:val="Normal"/>
    <w:rsid w:val="00263A08"/>
    <w:pPr>
      <w:spacing w:before="100" w:beforeAutospacing="1" w:after="100" w:afterAutospacing="1"/>
    </w:pPr>
    <w:rPr>
      <w:rFonts w:ascii="Arial Unicode MS" w:hAnsi="Arial Unicode MS"/>
    </w:rPr>
  </w:style>
  <w:style w:type="paragraph" w:styleId="BodyTextIndent2">
    <w:name w:val="Body Text Indent 2"/>
    <w:basedOn w:val="Normal"/>
    <w:link w:val="BodyTextIndent2Char"/>
    <w:rsid w:val="009B3C67"/>
    <w:pPr>
      <w:spacing w:after="120" w:line="480" w:lineRule="auto"/>
      <w:ind w:left="283"/>
    </w:pPr>
  </w:style>
  <w:style w:type="character" w:customStyle="1" w:styleId="BodyTextIndent2Char">
    <w:name w:val="Body Text Indent 2 Char"/>
    <w:basedOn w:val="DefaultParagraphFont"/>
    <w:link w:val="BodyTextIndent2"/>
    <w:rsid w:val="009B3C67"/>
    <w:rPr>
      <w:sz w:val="24"/>
      <w:szCs w:val="24"/>
      <w:lang w:val="el-GR" w:eastAsia="el-GR"/>
    </w:rPr>
  </w:style>
  <w:style w:type="character" w:customStyle="1" w:styleId="FooterChar">
    <w:name w:val="Footer Char"/>
    <w:basedOn w:val="DefaultParagraphFont"/>
    <w:link w:val="Footer"/>
    <w:uiPriority w:val="99"/>
    <w:rsid w:val="00FE7150"/>
    <w:rPr>
      <w:sz w:val="24"/>
      <w:szCs w:val="24"/>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gora.mfa.gr/gb66"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28BCF-B590-472C-95C4-76A679696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371</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Office of Commercial Affairs - Embassy of Greece</Company>
  <LinksUpToDate>false</LinksUpToDate>
  <CharactersWithSpaces>2548</CharactersWithSpaces>
  <SharedDoc>false</SharedDoc>
  <HLinks>
    <vt:vector size="6" baseType="variant">
      <vt:variant>
        <vt:i4>5767256</vt:i4>
      </vt:variant>
      <vt:variant>
        <vt:i4>3</vt:i4>
      </vt:variant>
      <vt:variant>
        <vt:i4>0</vt:i4>
      </vt:variant>
      <vt:variant>
        <vt:i4>5</vt:i4>
      </vt:variant>
      <vt:variant>
        <vt:lpwstr>https://www.gov.uk/government/publications/cut-eu-red-tape-report-from-the-business-taskforce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Delenda</dc:creator>
  <cp:lastModifiedBy>oeys02</cp:lastModifiedBy>
  <cp:revision>4</cp:revision>
  <cp:lastPrinted>2016-04-01T12:20:00Z</cp:lastPrinted>
  <dcterms:created xsi:type="dcterms:W3CDTF">2016-06-28T13:41:00Z</dcterms:created>
  <dcterms:modified xsi:type="dcterms:W3CDTF">2016-06-28T16:13:00Z</dcterms:modified>
</cp:coreProperties>
</file>