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D14DB" w14:textId="77777777" w:rsidR="00A378FC" w:rsidRDefault="00000000">
      <w:pPr>
        <w:spacing w:after="240"/>
        <w:jc w:val="right"/>
      </w:pPr>
      <w:r>
        <w:rPr>
          <w:color w:val="888888"/>
          <w:sz w:val="18"/>
          <w:szCs w:val="18"/>
        </w:rPr>
        <w:t>www.ace-ex.it</w:t>
      </w:r>
    </w:p>
    <w:p w14:paraId="5075FD1B" w14:textId="77777777" w:rsidR="005B408C" w:rsidRPr="003C362D" w:rsidRDefault="005B408C" w:rsidP="005B408C">
      <w:pPr>
        <w:spacing w:before="240" w:after="60"/>
        <w:jc w:val="center"/>
        <w:rPr>
          <w:b/>
          <w:bCs/>
          <w:sz w:val="26"/>
          <w:szCs w:val="26"/>
        </w:rPr>
      </w:pPr>
    </w:p>
    <w:p w14:paraId="658D81E6" w14:textId="44808F96" w:rsidR="00A378FC" w:rsidRPr="005B408C" w:rsidRDefault="007A0527" w:rsidP="005B408C">
      <w:pPr>
        <w:spacing w:before="240" w:after="60"/>
        <w:jc w:val="center"/>
        <w:rPr>
          <w:b/>
          <w:bCs/>
          <w:sz w:val="26"/>
          <w:szCs w:val="26"/>
        </w:rPr>
      </w:pPr>
      <w:r>
        <w:rPr>
          <w:b/>
          <w:bCs/>
          <w:sz w:val="26"/>
          <w:szCs w:val="26"/>
        </w:rPr>
        <w:t>Κυκλική Οικονομία, Θέσεις Εργασίας και Δεξιότητες για το Μέλλον της Γεωργίας: Το ACE-EX παρουσιάζει τα αποτελέσματά του στις Βρυξέλλες</w:t>
      </w:r>
    </w:p>
    <w:p w14:paraId="661D2013" w14:textId="77777777" w:rsidR="005B408C" w:rsidRPr="005B408C" w:rsidRDefault="005B408C" w:rsidP="005B408C">
      <w:pPr>
        <w:spacing w:before="240" w:after="60"/>
      </w:pPr>
    </w:p>
    <w:p w14:paraId="00BD4B05" w14:textId="77777777" w:rsidR="00A378FC" w:rsidRDefault="00000000">
      <w:pPr>
        <w:spacing w:after="240"/>
      </w:pPr>
      <w:r>
        <w:rPr>
          <w:b/>
          <w:bCs/>
        </w:rPr>
        <w:t>Δελτίο Τύπου, 5 Ιουνίου 2026</w:t>
      </w:r>
    </w:p>
    <w:p w14:paraId="78F3B8F5" w14:textId="5AD1D2C6" w:rsidR="00A378FC" w:rsidRDefault="00000000">
      <w:pPr>
        <w:spacing w:after="200"/>
        <w:jc w:val="both"/>
      </w:pPr>
      <w:r>
        <w:t>Στις 22 Ιουνίου 2026, οι Βρυξέλλες φιλοξενούν την τελική διάσκεψη του ACE-EX, του έργου Erasmus+ που έχει αναπτύξει το πρώτο ευρωπαϊκό προφίλ προσόντων για τον εμπειρογνώμονα κυκλικής οικονομίας στον γεωργικό τομέα.  Η εκδήλωση πραγματοποιείται στο Γραφείο Εκπροσώπησης της Περιφέρειας Λομβαρδίας (Place du Champ de Mars 2) από τις 10:30 έως τις 16:30, είναι ανοιχτή σε όλους, δια ζώσης και διαδικτυακά, και συγκεντρώνει εκπροσώπους της Ευρωπαϊκής Επιτροπής, του Ευρωπαϊκού Κοινοβουλίου, κοινωνικών εταίρων, ερευνητικών ιδρυμάτων και περιφερειακών αρχών.</w:t>
      </w:r>
    </w:p>
    <w:p w14:paraId="390B8D69" w14:textId="77777777" w:rsidR="00A378FC" w:rsidRDefault="00000000">
      <w:pPr>
        <w:spacing w:after="200"/>
        <w:jc w:val="both"/>
      </w:pPr>
      <w:r>
        <w:t>Τρία χρόνια συνεργασίας μεταξύ 20 εταίρων από 9 ευρωπαϊκές χώρες, τρεις γεωργικοί τομείς (κρασί, ελαιόλαδο και δημητριακά) και ένα επαγγελματικό πρόγραμμα σπουδών που αναπτύχθηκε εξ αρχής γύρω από ικανότητες που οι ευρωπαϊκές αγορές εργασίας στον γεωργικό τομέα δεν αναγνωρίζουν ακόμα επίσημα: αυτό θα παρουσιάσει το ACE-EX στις Βρυξέλλες. Η επιλογή της ευρωπαϊκής πρωτεύουσας δεν είναι τυχαία. Το έργο δημιουργήθηκε για να αντιμετωπίσει ένα κενό που αναγνωρίζεται σε επίπεδο ΕΕ, δηλαδή το γεγονός ότι οι περισσότεροι διαχειριστές αγροκτημάτων στην Ευρωπαϊκή Ένωση διαθέτουν μόνο πρακτική εμπειρία, χωρίς δομημένη κατάρτιση στις ικανότητες που απαιτούνται για την πλοήγηση στη μετάβαση στην κυκλική οικονομία.</w:t>
      </w:r>
    </w:p>
    <w:p w14:paraId="0B3CC4A6" w14:textId="0FBCB96A" w:rsidR="00A378FC" w:rsidRDefault="00000000" w:rsidP="003C362D">
      <w:pPr>
        <w:jc w:val="both"/>
      </w:pPr>
      <w:r>
        <w:t>Η διάσκεψη «Κυκλική</w:t>
      </w:r>
      <w:r w:rsidR="003C362D">
        <w:t xml:space="preserve"> </w:t>
      </w:r>
      <w:r>
        <w:t>Οικονομία, Θέσεις Εργασίας και Δεξιότητες για το Μέλλον της Γεωργίας</w:t>
      </w:r>
      <w:r>
        <w:rPr>
          <w:b/>
          <w:bCs/>
          <w:sz w:val="26"/>
          <w:szCs w:val="26"/>
        </w:rPr>
        <w:t>»</w:t>
      </w:r>
      <w:r>
        <w:t xml:space="preserve"> οργανώνεται με τη συμβολή του Ευρωπαϊκού Δικτύου Χημικών Περιφερειών (ECRN), του βελγικού εταίρου του ACE-EX και συντονιστή του πακέτου εργασίας για τον αντίκτυπο και τη βιωσιμότητα του έργου. Το ECRN είναι ένας διεθνής μη κερδοσκοπικός οργανισμός που συνεργάζεται με ευρωπαϊκές περιφέρειες στους τομείς της βιοοικονομίας, της ενεργειακής μετάβασης και της κυκλικής οικονομίας, και η συμμετοχή του ενισχύει τον δεσμό μεταξύ των αποτελεσμάτων του έργου και της ευρύτερης ευρωπαϊκής πολιτικής του κλάδου.</w:t>
      </w:r>
    </w:p>
    <w:p w14:paraId="3550BD11" w14:textId="38E658EE" w:rsidR="00A378FC" w:rsidRDefault="00000000">
      <w:pPr>
        <w:spacing w:after="200"/>
        <w:jc w:val="both"/>
      </w:pPr>
      <w:r>
        <w:t xml:space="preserve">Η ημέρα είναι δομημένη σε τρία στάδια. Μετά την θεσμική έναρξη από την Περιφέρεια Λομβαρδίας, η Carmen Fusilli (ITS Academy Giulio Natta) παρουσιάζει τα αποτελέσματα του έργου: το πρόγραμμα σπουδών, τα εργαλεία αξιολόγησης και το εκπαιδευτικό μονοπάτι που αναπτύχθηκε μέσω e-learning, </w:t>
      </w:r>
      <w:r>
        <w:rPr>
          <w:lang w:val="en-US"/>
        </w:rPr>
        <w:t>serious</w:t>
      </w:r>
      <w:r>
        <w:t xml:space="preserve"> </w:t>
      </w:r>
      <w:r>
        <w:rPr>
          <w:lang w:val="en-US"/>
        </w:rPr>
        <w:t>games</w:t>
      </w:r>
      <w:r>
        <w:t xml:space="preserve"> και εικονικής πραγματικότητας. Η συζήτηση ξεκινά ουσιαστικά με μια στρογγυλή τράπεζα σχετικά με τις δεξιότητες και τα επαγγελματικά προφίλ που απαιτούνται για την κυκλική μετάβαση του αγροδιατροφικού τομέα, με εκπροσώπους της Γενικής Διεύθυνσης Γεωργίας της Ευρωπαϊκής Επιτροπής, της FoodDrinkEurope και της EFFAT. Το απόγευμα, κατόπιν κεντρικής ομιλίας του ευρωβουλευτή Dario Nardella (Επιτροπή </w:t>
      </w:r>
      <w:r>
        <w:rPr>
          <w:lang w:val="en-US"/>
        </w:rPr>
        <w:t>AGRI</w:t>
      </w:r>
      <w:r>
        <w:t xml:space="preserve"> του Ευρωπαϊκού Κοινοβουλίου), μια δεύτερη στρογγυλή τράπεζα διευρύνει την οπτική στη μακροπρόθεσμη οικονομική βιωσιμότητα του τομέα, με συμβολές από την Eat Europe, το Ευρωπαϊκό Γραφείο Περιβάλλοντος και το Teagasc.</w:t>
      </w:r>
    </w:p>
    <w:p w14:paraId="757207D2" w14:textId="0FCDAE0F" w:rsidR="00A378FC" w:rsidRDefault="00000000">
      <w:pPr>
        <w:spacing w:after="200"/>
        <w:jc w:val="both"/>
      </w:pPr>
      <w:r>
        <w:t>Τα καταληκτικά σχόλια δίνονται από τον Folco Ciulli, Εκτελεστικό Διευθυντή του Ευρωπαϊκού Δικτύου Χημικών Περιφερειών. Η εκδήλωση ολοκληρώνεται με ζωντανή επίδειξη των τεχνολογιών   μάθησης που αναπτύχθηκαν στο πλαίσιο του έργου, παρουσιαζόμενων από τη Softcare Studios.</w:t>
      </w:r>
    </w:p>
    <w:p w14:paraId="3CD11699" w14:textId="77777777" w:rsidR="005B408C" w:rsidRPr="007A0527" w:rsidRDefault="005B408C">
      <w:pPr>
        <w:spacing w:after="360"/>
        <w:jc w:val="both"/>
      </w:pPr>
    </w:p>
    <w:p w14:paraId="32A2EA8B" w14:textId="3C5CB29D" w:rsidR="00A378FC" w:rsidRDefault="00000000">
      <w:pPr>
        <w:spacing w:after="360"/>
        <w:jc w:val="both"/>
      </w:pPr>
      <w:r>
        <w:t>Η διάσκεψη ολοκληρώνει τον τριετή κύκλο του ACE-EX, αλλά δεν εξαντλεί το έργο που έχει θέσει σε κίνηση. Οι εταίροι έχουν ήδη ενεργοποιήσει τις διαδικασίες που απαιτούνται για να διατηρηθεί το πρόγραμμα σπουδών διαθέσιμο μέσω μιας πλατφόρμας MOOC που προσφέρει μικρο-πιστοποιητικά σε οκτώ γλώσσες. Στόχος είναι το επαγγελματικό προφίλ του «εμπειρογνώμονα κυκλικής οικονομίας εφαρμοσμένης στη γεωργία» να καταστεί αναγνωρίσιμο σημείο αναφοράς στις ευρωπαϊκές αγορές εργασίας και τα εκπαιδευτικά συστήματα.</w:t>
      </w:r>
    </w:p>
    <w:p w14:paraId="3A1B2C3D" w14:textId="3BE2B72A" w:rsidR="00A378FC" w:rsidRDefault="00000000">
      <w:pPr>
        <w:spacing w:after="200"/>
        <w:jc w:val="both"/>
      </w:pPr>
      <w:r>
        <w:t xml:space="preserve">Στο πλαίσιο του ευρωπαϊκού έργου ACE-EX συμμετέχει ως εταίρος και το </w:t>
      </w:r>
      <w:r>
        <w:rPr>
          <w:b/>
          <w:bCs/>
        </w:rPr>
        <w:t>Επιμελητήριο Φθιώτιδας</w:t>
      </w:r>
      <w:r>
        <w:t>, το οποίο για διάστημα τριών ετών συνέβαλε στην υλοποίησή του</w:t>
      </w:r>
      <w:r w:rsidR="003C362D">
        <w:t xml:space="preserve"> και μεταξύ άλλων,</w:t>
      </w:r>
      <w:r>
        <w:t xml:space="preserve"> </w:t>
      </w:r>
      <w:r w:rsidR="003C362D">
        <w:t>στη</w:t>
      </w:r>
      <w:r>
        <w:t xml:space="preserve"> συγγραφής εκπαιδευτικού υλικού και </w:t>
      </w:r>
      <w:r w:rsidR="003C362D">
        <w:t>στην</w:t>
      </w:r>
      <w:r>
        <w:t xml:space="preserve"> εκπαίδευσης ενδιαφερομένων (www.fthiotidoscc.gr).</w:t>
      </w:r>
    </w:p>
    <w:p w14:paraId="2F0C95A9" w14:textId="77777777" w:rsidR="00A378FC" w:rsidRDefault="00000000">
      <w:pPr>
        <w:spacing w:after="360"/>
        <w:jc w:val="both"/>
      </w:pPr>
      <w:r>
        <w:rPr>
          <w:b/>
          <w:bCs/>
        </w:rPr>
        <w:t>Η συμμετοχή είναι δωρεάν, τόσο δια ζώσης στις Βρυξέλλες όσο και διαδικτυακά. Το πλήρες πρόγραμμα και η φόρμα εγγραφής είναι διαθέσιμα στη διεύθυνση ace-ex.eu/final-event.</w:t>
      </w:r>
    </w:p>
    <w:p w14:paraId="10D652F5" w14:textId="77777777" w:rsidR="00A378FC" w:rsidRDefault="00000000">
      <w:pPr>
        <w:jc w:val="both"/>
      </w:pPr>
      <w:r>
        <w:rPr>
          <w:i/>
          <w:iCs/>
          <w:color w:val="555555"/>
          <w:sz w:val="18"/>
          <w:szCs w:val="18"/>
        </w:rPr>
        <w:t>Το</w:t>
      </w:r>
      <w:r>
        <w:rPr>
          <w:i/>
          <w:iCs/>
          <w:color w:val="555555"/>
          <w:sz w:val="18"/>
          <w:szCs w:val="18"/>
          <w:lang w:val="en-US"/>
        </w:rPr>
        <w:t xml:space="preserve"> ACE-EX (Agriculture Circular Economy Expert, </w:t>
      </w:r>
      <w:r>
        <w:rPr>
          <w:i/>
          <w:iCs/>
          <w:color w:val="555555"/>
          <w:sz w:val="18"/>
          <w:szCs w:val="18"/>
        </w:rPr>
        <w:t>αριθ</w:t>
      </w:r>
      <w:r>
        <w:rPr>
          <w:i/>
          <w:iCs/>
          <w:color w:val="555555"/>
          <w:sz w:val="18"/>
          <w:szCs w:val="18"/>
          <w:lang w:val="en-US"/>
        </w:rPr>
        <w:t xml:space="preserve">. </w:t>
      </w:r>
      <w:r>
        <w:rPr>
          <w:i/>
          <w:iCs/>
          <w:color w:val="555555"/>
          <w:sz w:val="18"/>
          <w:szCs w:val="18"/>
        </w:rPr>
        <w:t>101110547) είναι έργο Erasmus+ KA2 Alliance for Innovation, συγχρηματοδοτούμενο από την Ευρωπαϊκή Ένωση. Οι απόψεις και γνώμες που εκφράζονται ανήκουν αποκλειστικά στους συντάκτες και δεν αντικατοπτρίζουν απαραίτητα τις θέσεις της Ευρωπαϊκής Ένωσης ή της EACEA, οι οποίες δεν φέρουν καμία ευθύνη γι' αυτές.</w:t>
      </w:r>
    </w:p>
    <w:sectPr w:rsidR="00A378FC">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CC897" w14:textId="77777777" w:rsidR="00854DBA" w:rsidRDefault="00854DBA" w:rsidP="005B408C">
      <w:r>
        <w:separator/>
      </w:r>
    </w:p>
  </w:endnote>
  <w:endnote w:type="continuationSeparator" w:id="0">
    <w:p w14:paraId="2CB1E6EF" w14:textId="77777777" w:rsidR="00854DBA" w:rsidRDefault="00854DBA" w:rsidP="005B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7DF2" w14:textId="24E13103" w:rsidR="005B408C" w:rsidRDefault="005B408C">
    <w:pPr>
      <w:pStyle w:val="aa"/>
    </w:pPr>
    <w:r>
      <w:rPr>
        <w:noProof/>
      </w:rPr>
      <w:drawing>
        <wp:inline distT="0" distB="0" distL="0" distR="0" wp14:anchorId="6E21F86F" wp14:editId="22C8981B">
          <wp:extent cx="5731510" cy="834390"/>
          <wp:effectExtent l="0" t="0" r="2540" b="3810"/>
          <wp:docPr id="248372459"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72459" name="Εικόνα 248372459"/>
                  <pic:cNvPicPr/>
                </pic:nvPicPr>
                <pic:blipFill>
                  <a:blip r:embed="rId1">
                    <a:extLst>
                      <a:ext uri="{28A0092B-C50C-407E-A947-70E740481C1C}">
                        <a14:useLocalDpi xmlns:a14="http://schemas.microsoft.com/office/drawing/2010/main" val="0"/>
                      </a:ext>
                    </a:extLst>
                  </a:blip>
                  <a:stretch>
                    <a:fillRect/>
                  </a:stretch>
                </pic:blipFill>
                <pic:spPr>
                  <a:xfrm>
                    <a:off x="0" y="0"/>
                    <a:ext cx="5731510" cy="8343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A50E" w14:textId="77777777" w:rsidR="00854DBA" w:rsidRDefault="00854DBA" w:rsidP="005B408C">
      <w:r>
        <w:separator/>
      </w:r>
    </w:p>
  </w:footnote>
  <w:footnote w:type="continuationSeparator" w:id="0">
    <w:p w14:paraId="3C9AAA84" w14:textId="77777777" w:rsidR="00854DBA" w:rsidRDefault="00854DBA" w:rsidP="005B4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D305" w14:textId="05C99DC5" w:rsidR="005B408C" w:rsidRDefault="005B408C" w:rsidP="005B408C">
    <w:pPr>
      <w:pStyle w:val="a9"/>
      <w:jc w:val="both"/>
    </w:pPr>
    <w:r>
      <w:rPr>
        <w:noProof/>
        <w:lang w:val="en-US"/>
      </w:rPr>
      <w:drawing>
        <wp:inline distT="0" distB="0" distL="0" distR="0" wp14:anchorId="509767A9" wp14:editId="29FCA256">
          <wp:extent cx="1685925" cy="361950"/>
          <wp:effectExtent l="0" t="0" r="9525" b="0"/>
          <wp:docPr id="48787600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361950"/>
                  </a:xfrm>
                  <a:prstGeom prst="rect">
                    <a:avLst/>
                  </a:prstGeom>
                  <a:noFill/>
                </pic:spPr>
              </pic:pic>
            </a:graphicData>
          </a:graphic>
        </wp:inline>
      </w:drawing>
    </w:r>
    <w:r>
      <w:rPr>
        <w:noProof/>
        <w:lang w:val="en-US"/>
      </w:rPr>
      <w:t xml:space="preserve">                                                        </w:t>
    </w:r>
    <w:r>
      <w:rPr>
        <w:noProof/>
      </w:rPr>
      <w:drawing>
        <wp:inline distT="0" distB="0" distL="0" distR="0" wp14:anchorId="737946CE" wp14:editId="5371F11C">
          <wp:extent cx="1743075" cy="542925"/>
          <wp:effectExtent l="0" t="0" r="9525" b="9525"/>
          <wp:docPr id="131475945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5429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F185A"/>
    <w:multiLevelType w:val="hybridMultilevel"/>
    <w:tmpl w:val="F7C04046"/>
    <w:lvl w:ilvl="0" w:tplc="1FD2467C">
      <w:start w:val="1"/>
      <w:numFmt w:val="bullet"/>
      <w:lvlText w:val="●"/>
      <w:lvlJc w:val="left"/>
      <w:pPr>
        <w:ind w:left="720" w:hanging="360"/>
      </w:pPr>
    </w:lvl>
    <w:lvl w:ilvl="1" w:tplc="4EB8425C">
      <w:start w:val="1"/>
      <w:numFmt w:val="bullet"/>
      <w:lvlText w:val="○"/>
      <w:lvlJc w:val="left"/>
      <w:pPr>
        <w:ind w:left="1440" w:hanging="360"/>
      </w:pPr>
    </w:lvl>
    <w:lvl w:ilvl="2" w:tplc="13D8B1F4">
      <w:start w:val="1"/>
      <w:numFmt w:val="bullet"/>
      <w:lvlText w:val="■"/>
      <w:lvlJc w:val="left"/>
      <w:pPr>
        <w:ind w:left="2160" w:hanging="360"/>
      </w:pPr>
    </w:lvl>
    <w:lvl w:ilvl="3" w:tplc="747E94B4">
      <w:start w:val="1"/>
      <w:numFmt w:val="bullet"/>
      <w:lvlText w:val="●"/>
      <w:lvlJc w:val="left"/>
      <w:pPr>
        <w:ind w:left="2880" w:hanging="360"/>
      </w:pPr>
    </w:lvl>
    <w:lvl w:ilvl="4" w:tplc="5E0430FE">
      <w:start w:val="1"/>
      <w:numFmt w:val="bullet"/>
      <w:lvlText w:val="○"/>
      <w:lvlJc w:val="left"/>
      <w:pPr>
        <w:ind w:left="3600" w:hanging="360"/>
      </w:pPr>
    </w:lvl>
    <w:lvl w:ilvl="5" w:tplc="E2D6B766">
      <w:start w:val="1"/>
      <w:numFmt w:val="bullet"/>
      <w:lvlText w:val="■"/>
      <w:lvlJc w:val="left"/>
      <w:pPr>
        <w:ind w:left="4320" w:hanging="360"/>
      </w:pPr>
    </w:lvl>
    <w:lvl w:ilvl="6" w:tplc="4A9E1656">
      <w:start w:val="1"/>
      <w:numFmt w:val="bullet"/>
      <w:lvlText w:val="●"/>
      <w:lvlJc w:val="left"/>
      <w:pPr>
        <w:ind w:left="5040" w:hanging="360"/>
      </w:pPr>
    </w:lvl>
    <w:lvl w:ilvl="7" w:tplc="2BF4847A">
      <w:start w:val="1"/>
      <w:numFmt w:val="bullet"/>
      <w:lvlText w:val="●"/>
      <w:lvlJc w:val="left"/>
      <w:pPr>
        <w:ind w:left="5760" w:hanging="360"/>
      </w:pPr>
    </w:lvl>
    <w:lvl w:ilvl="8" w:tplc="BECE9DA8">
      <w:start w:val="1"/>
      <w:numFmt w:val="bullet"/>
      <w:lvlText w:val="●"/>
      <w:lvlJc w:val="left"/>
      <w:pPr>
        <w:ind w:left="6480" w:hanging="360"/>
      </w:pPr>
    </w:lvl>
  </w:abstractNum>
  <w:num w:numId="1" w16cid:durableId="5706970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C"/>
    <w:rsid w:val="003C362D"/>
    <w:rsid w:val="004F1A10"/>
    <w:rsid w:val="005B408C"/>
    <w:rsid w:val="007A0527"/>
    <w:rsid w:val="00854DBA"/>
    <w:rsid w:val="00A378FC"/>
    <w:rsid w:val="00D32383"/>
    <w:rsid w:val="00EE5A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95201"/>
  <w15:docId w15:val="{88EEF119-555C-4ED5-9A4D-90F8691D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spacing w:before="240" w:after="120"/>
      <w:outlineLvl w:val="0"/>
    </w:pPr>
    <w:rPr>
      <w:b/>
      <w:bCs/>
      <w:color w:val="000000"/>
      <w:sz w:val="28"/>
      <w:szCs w:val="28"/>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Έντονο1"/>
    <w:qFormat/>
    <w:rPr>
      <w:b/>
      <w:bCs/>
    </w:rPr>
  </w:style>
  <w:style w:type="paragraph" w:styleId="a4">
    <w:name w:val="List Paragraph"/>
    <w:qFormat/>
  </w:style>
  <w:style w:type="character" w:styleId="-">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Char"/>
    <w:uiPriority w:val="99"/>
    <w:semiHidden/>
    <w:unhideWhenUsed/>
    <w:rPr>
      <w:sz w:val="20"/>
      <w:szCs w:val="20"/>
    </w:rPr>
  </w:style>
  <w:style w:type="character" w:customStyle="1" w:styleId="Char">
    <w:name w:val="Κείμενο υποσημείωσης Char"/>
    <w:link w:val="a6"/>
    <w:uiPriority w:val="99"/>
    <w:semiHidden/>
    <w:unhideWhenUsed/>
    <w:rPr>
      <w:sz w:val="20"/>
      <w:szCs w:val="20"/>
    </w:rPr>
  </w:style>
  <w:style w:type="character" w:styleId="a7">
    <w:name w:val="endnote reference"/>
    <w:uiPriority w:val="99"/>
    <w:semiHidden/>
    <w:unhideWhenUsed/>
    <w:rPr>
      <w:vertAlign w:val="superscript"/>
    </w:rPr>
  </w:style>
  <w:style w:type="paragraph" w:styleId="a8">
    <w:name w:val="endnote text"/>
    <w:link w:val="Char0"/>
    <w:uiPriority w:val="99"/>
    <w:semiHidden/>
    <w:unhideWhenUsed/>
    <w:rPr>
      <w:sz w:val="20"/>
      <w:szCs w:val="20"/>
    </w:rPr>
  </w:style>
  <w:style w:type="character" w:customStyle="1" w:styleId="Char0">
    <w:name w:val="Κείμενο σημείωσης τέλους Char"/>
    <w:link w:val="a8"/>
    <w:uiPriority w:val="99"/>
    <w:semiHidden/>
    <w:unhideWhenUsed/>
    <w:rPr>
      <w:sz w:val="20"/>
      <w:szCs w:val="20"/>
    </w:rPr>
  </w:style>
  <w:style w:type="paragraph" w:styleId="a9">
    <w:name w:val="header"/>
    <w:basedOn w:val="a"/>
    <w:link w:val="Char1"/>
    <w:uiPriority w:val="99"/>
    <w:unhideWhenUsed/>
    <w:rsid w:val="005B408C"/>
    <w:pPr>
      <w:tabs>
        <w:tab w:val="center" w:pos="4153"/>
        <w:tab w:val="right" w:pos="8306"/>
      </w:tabs>
    </w:pPr>
  </w:style>
  <w:style w:type="character" w:customStyle="1" w:styleId="Char1">
    <w:name w:val="Κεφαλίδα Char"/>
    <w:basedOn w:val="a0"/>
    <w:link w:val="a9"/>
    <w:uiPriority w:val="99"/>
    <w:rsid w:val="005B408C"/>
  </w:style>
  <w:style w:type="paragraph" w:styleId="aa">
    <w:name w:val="footer"/>
    <w:basedOn w:val="a"/>
    <w:link w:val="Char2"/>
    <w:uiPriority w:val="99"/>
    <w:unhideWhenUsed/>
    <w:rsid w:val="005B408C"/>
    <w:pPr>
      <w:tabs>
        <w:tab w:val="center" w:pos="4153"/>
        <w:tab w:val="right" w:pos="8306"/>
      </w:tabs>
    </w:pPr>
  </w:style>
  <w:style w:type="character" w:customStyle="1" w:styleId="Char2">
    <w:name w:val="Υποσέλιδο Char"/>
    <w:basedOn w:val="a0"/>
    <w:link w:val="aa"/>
    <w:uiPriority w:val="99"/>
    <w:rsid w:val="005B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707</Words>
  <Characters>3821</Characters>
  <Application>Microsoft Office Word</Application>
  <DocSecurity>0</DocSecurity>
  <Lines>31</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George Zardas</cp:lastModifiedBy>
  <cp:revision>2</cp:revision>
  <dcterms:created xsi:type="dcterms:W3CDTF">2026-06-09T08:21:00Z</dcterms:created>
  <dcterms:modified xsi:type="dcterms:W3CDTF">2026-06-09T08:21:00Z</dcterms:modified>
</cp:coreProperties>
</file>